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43996" w14:textId="0D96D73A" w:rsidR="00752718" w:rsidRPr="00FF2E8E" w:rsidRDefault="00977421" w:rsidP="00B656A4">
      <w:pPr>
        <w:pBdr>
          <w:top w:val="single" w:sz="4" w:space="1" w:color="auto"/>
          <w:bottom w:val="single" w:sz="4" w:space="1" w:color="auto"/>
        </w:pBdr>
        <w:spacing w:before="240" w:after="0" w:line="240" w:lineRule="auto"/>
        <w:jc w:val="center"/>
        <w:outlineLvl w:val="0"/>
        <w:rPr>
          <w:rFonts w:ascii="Book Antiqua" w:eastAsia="Times New Roman" w:hAnsi="Book Antiqua" w:cs="Times New Roman"/>
          <w:b/>
          <w:bCs/>
          <w:kern w:val="36"/>
          <w:sz w:val="24"/>
          <w:szCs w:val="24"/>
        </w:rPr>
      </w:pPr>
      <w:r w:rsidRPr="00FF2E8E">
        <w:rPr>
          <w:rFonts w:ascii="Book Antiqua" w:eastAsia="Times New Roman" w:hAnsi="Book Antiqua" w:cs="Times New Roman"/>
          <w:b/>
          <w:bCs/>
          <w:kern w:val="36"/>
          <w:sz w:val="24"/>
          <w:szCs w:val="24"/>
        </w:rPr>
        <w:t>THE TRANSFORMATION OF THE TOYOTA KIJANG (1977–1996): FROM COMMERCIAL VEHICLE TO SYMBOL OF INDONESIAN FAMILY CULTURE THROUGH ADVERTISING STRATEGY AND GOVERNMENT POLICY</w:t>
      </w:r>
    </w:p>
    <w:p w14:paraId="6911F9BE" w14:textId="77777777" w:rsidR="0016688A" w:rsidRPr="00FF2E8E" w:rsidRDefault="0016688A" w:rsidP="0016688A">
      <w:pPr>
        <w:spacing w:after="0" w:line="240" w:lineRule="auto"/>
        <w:jc w:val="center"/>
        <w:outlineLvl w:val="0"/>
        <w:rPr>
          <w:rFonts w:ascii="Book Antiqua" w:eastAsia="Times New Roman" w:hAnsi="Book Antiqua" w:cs="Times New Roman"/>
          <w:b/>
          <w:bCs/>
          <w:kern w:val="36"/>
          <w:sz w:val="24"/>
          <w:szCs w:val="24"/>
        </w:rPr>
      </w:pPr>
    </w:p>
    <w:p w14:paraId="71A6EE73" w14:textId="77777777" w:rsidR="00082312" w:rsidRPr="00FF2E8E" w:rsidRDefault="00B12532" w:rsidP="0016688A">
      <w:pPr>
        <w:spacing w:after="0" w:line="240" w:lineRule="auto"/>
        <w:jc w:val="center"/>
        <w:outlineLvl w:val="0"/>
        <w:rPr>
          <w:rFonts w:ascii="Book Antiqua" w:eastAsia="Times New Roman" w:hAnsi="Book Antiqua" w:cs="Times New Roman"/>
          <w:b/>
          <w:bCs/>
          <w:kern w:val="36"/>
          <w:sz w:val="24"/>
          <w:szCs w:val="24"/>
        </w:rPr>
      </w:pPr>
      <w:r w:rsidRPr="00FF2E8E">
        <w:rPr>
          <w:rFonts w:ascii="Book Antiqua" w:eastAsia="Times New Roman" w:hAnsi="Book Antiqua" w:cs="Times New Roman"/>
          <w:b/>
          <w:bCs/>
          <w:kern w:val="36"/>
          <w:sz w:val="24"/>
          <w:szCs w:val="24"/>
        </w:rPr>
        <w:t>Afrianti Wulandari</w:t>
      </w:r>
    </w:p>
    <w:p w14:paraId="2C16985B" w14:textId="77777777" w:rsidR="00B12532" w:rsidRPr="00FF2E8E" w:rsidRDefault="00B12532" w:rsidP="0016688A">
      <w:pPr>
        <w:spacing w:after="0" w:line="240" w:lineRule="auto"/>
        <w:jc w:val="center"/>
        <w:outlineLvl w:val="0"/>
        <w:rPr>
          <w:rFonts w:ascii="Book Antiqua" w:eastAsia="Times New Roman" w:hAnsi="Book Antiqua" w:cs="Times New Roman"/>
          <w:kern w:val="36"/>
          <w:sz w:val="24"/>
          <w:szCs w:val="24"/>
        </w:rPr>
      </w:pPr>
      <w:r w:rsidRPr="00FF2E8E">
        <w:rPr>
          <w:rFonts w:ascii="Book Antiqua" w:eastAsia="Times New Roman" w:hAnsi="Book Antiqua" w:cs="Times New Roman"/>
          <w:kern w:val="36"/>
          <w:sz w:val="24"/>
          <w:szCs w:val="24"/>
        </w:rPr>
        <w:t>Pamulang University, South Tangerang, Banten, Indonesia</w:t>
      </w:r>
    </w:p>
    <w:p w14:paraId="79DFA828" w14:textId="77777777" w:rsidR="0016688A" w:rsidRPr="00FF2E8E" w:rsidRDefault="0016688A" w:rsidP="0016688A">
      <w:pPr>
        <w:spacing w:after="0" w:line="240" w:lineRule="auto"/>
        <w:jc w:val="center"/>
        <w:outlineLvl w:val="0"/>
        <w:rPr>
          <w:rFonts w:ascii="Book Antiqua" w:eastAsia="Times New Roman" w:hAnsi="Book Antiqua" w:cs="Times New Roman"/>
          <w:kern w:val="36"/>
          <w:sz w:val="24"/>
          <w:szCs w:val="24"/>
        </w:rPr>
      </w:pPr>
      <w:r w:rsidRPr="00FF2E8E">
        <w:rPr>
          <w:rFonts w:ascii="Book Antiqua" w:eastAsia="Times New Roman" w:hAnsi="Book Antiqua" w:cs="Times New Roman"/>
          <w:kern w:val="36"/>
          <w:sz w:val="24"/>
          <w:szCs w:val="24"/>
        </w:rPr>
        <w:t>dosen01166@unpam.ac.id</w:t>
      </w:r>
    </w:p>
    <w:p w14:paraId="14430337" w14:textId="7183F9BE" w:rsidR="0016688A" w:rsidRPr="00FF2E8E" w:rsidRDefault="0016688A" w:rsidP="0016688A">
      <w:pPr>
        <w:pStyle w:val="Heading2"/>
        <w:spacing w:before="0" w:beforeAutospacing="0" w:after="0" w:afterAutospacing="0"/>
        <w:jc w:val="center"/>
        <w:rPr>
          <w:rStyle w:val="Strong"/>
          <w:rFonts w:ascii="Book Antiqua" w:hAnsi="Book Antiqua"/>
          <w:sz w:val="24"/>
          <w:szCs w:val="24"/>
        </w:rPr>
      </w:pPr>
    </w:p>
    <w:p w14:paraId="69DF120B" w14:textId="77777777" w:rsidR="00752718" w:rsidRPr="00204E57" w:rsidRDefault="00752718" w:rsidP="0016688A">
      <w:pPr>
        <w:pStyle w:val="Heading2"/>
        <w:spacing w:before="0" w:beforeAutospacing="0" w:after="0" w:afterAutospacing="0"/>
        <w:jc w:val="center"/>
        <w:rPr>
          <w:rFonts w:ascii="Book Antiqua" w:hAnsi="Book Antiqua"/>
          <w:b w:val="0"/>
          <w:bCs w:val="0"/>
          <w:sz w:val="24"/>
          <w:szCs w:val="24"/>
        </w:rPr>
      </w:pPr>
      <w:r w:rsidRPr="00204E57">
        <w:rPr>
          <w:rStyle w:val="Strong"/>
          <w:rFonts w:ascii="Book Antiqua" w:hAnsi="Book Antiqua"/>
          <w:b/>
          <w:bCs/>
          <w:sz w:val="24"/>
          <w:szCs w:val="24"/>
        </w:rPr>
        <w:t>Abstract</w:t>
      </w:r>
    </w:p>
    <w:p w14:paraId="2DC431A0" w14:textId="77777777" w:rsidR="00752718" w:rsidRPr="00FF2E8E" w:rsidRDefault="00752718" w:rsidP="0016688A">
      <w:pPr>
        <w:pStyle w:val="NormalWeb"/>
        <w:spacing w:before="0" w:beforeAutospacing="0" w:after="0" w:afterAutospacing="0"/>
        <w:jc w:val="both"/>
        <w:rPr>
          <w:rFonts w:ascii="Book Antiqua" w:hAnsi="Book Antiqua"/>
        </w:rPr>
      </w:pPr>
      <w:r w:rsidRPr="00FF2E8E">
        <w:rPr>
          <w:rFonts w:ascii="Book Antiqua" w:hAnsi="Book Antiqua"/>
        </w:rPr>
        <w:t>This article examines the transformation of the Toyota Kijang from a simple commercial vehicle to an iconic family vehicle in Indonesia during the period 1977–1996. As part of the national policy through the Multipurpose Commercial Vehicle Program (KNBS), the Toyota Kijang was initially designed to meet the transportation and distribution needs of goods amidst national development. However, over time, this vehicle underwent a shift in function to become a family vehicle reflecting the economic stability and social aspirations of the Indonesian people. This research uses a historical method with a descriptive qualitative approach, which is based on the analysis of primary data from Television Republik Indonesia (TVRI) advertisement documentation, print media, and digital archives. The main focus of this study is Toyota's marketing communication strategy, particularly the use of mass media and emotional approaches in advertising, including the involvement of celebrities as endorsers. The analysis also includes the application of the marketing mix (7Ps): product, price, promotion, place, process, people, and physical evidence. The results of the study indicate that the success of the Toyota Kijang lies not only in the technical quality of the product, but also in the ability to adapt to changes in media policy, consumer cultural sensitivity, and the power of advertising narratives in building brand image. Through an integrated and contextual communication strategy, Toyota Kijang was able to occupy a central position in the Indonesian automotive landscape while simultaneously forming a new culture in the lives of middle-class families during the New Order era.</w:t>
      </w:r>
    </w:p>
    <w:p w14:paraId="5AB083BE" w14:textId="77777777" w:rsidR="00752718" w:rsidRPr="00FF2E8E" w:rsidRDefault="00752718" w:rsidP="0016688A">
      <w:pPr>
        <w:pStyle w:val="NormalWeb"/>
        <w:spacing w:before="0" w:beforeAutospacing="0" w:after="0" w:afterAutospacing="0"/>
        <w:rPr>
          <w:rFonts w:ascii="Book Antiqua" w:hAnsi="Book Antiqua"/>
        </w:rPr>
      </w:pPr>
      <w:proofErr w:type="gramStart"/>
      <w:r w:rsidRPr="00FF2E8E">
        <w:rPr>
          <w:rStyle w:val="Strong"/>
          <w:rFonts w:ascii="Book Antiqua" w:hAnsi="Book Antiqua"/>
        </w:rPr>
        <w:t>Keywords</w:t>
      </w:r>
      <w:r w:rsidRPr="00FF2E8E">
        <w:rPr>
          <w:rFonts w:ascii="Book Antiqua" w:hAnsi="Book Antiqua"/>
          <w:b/>
        </w:rPr>
        <w:t>:</w:t>
      </w:r>
      <w:r w:rsidRPr="00FF2E8E">
        <w:rPr>
          <w:rFonts w:ascii="Book Antiqua" w:hAnsi="Book Antiqua"/>
        </w:rPr>
        <w:t>Toyota</w:t>
      </w:r>
      <w:proofErr w:type="gramEnd"/>
      <w:r w:rsidRPr="00FF2E8E">
        <w:rPr>
          <w:rFonts w:ascii="Book Antiqua" w:hAnsi="Book Antiqua"/>
        </w:rPr>
        <w:t xml:space="preserve"> Kijang, television advertising, marketing strategy, consumer culture, KNBS.</w:t>
      </w:r>
    </w:p>
    <w:p w14:paraId="40BAE7D7" w14:textId="77777777" w:rsidR="00752718" w:rsidRPr="00FF2E8E" w:rsidRDefault="00752718" w:rsidP="0016688A">
      <w:pPr>
        <w:spacing w:after="0" w:line="240" w:lineRule="auto"/>
        <w:jc w:val="both"/>
        <w:outlineLvl w:val="1"/>
        <w:rPr>
          <w:rFonts w:ascii="Book Antiqua" w:eastAsia="Times New Roman" w:hAnsi="Book Antiqua" w:cs="Times New Roman"/>
          <w:b/>
          <w:bCs/>
          <w:sz w:val="24"/>
          <w:szCs w:val="24"/>
        </w:rPr>
      </w:pPr>
    </w:p>
    <w:p w14:paraId="5D5CF873" w14:textId="77777777" w:rsidR="00752718" w:rsidRPr="00FF2E8E" w:rsidRDefault="00752718" w:rsidP="0016688A">
      <w:pPr>
        <w:spacing w:after="0" w:line="240" w:lineRule="auto"/>
        <w:jc w:val="both"/>
        <w:outlineLvl w:val="1"/>
        <w:rPr>
          <w:rFonts w:ascii="Book Antiqua" w:eastAsia="Times New Roman" w:hAnsi="Book Antiqua" w:cs="Times New Roman"/>
          <w:b/>
          <w:bCs/>
          <w:sz w:val="24"/>
          <w:szCs w:val="24"/>
        </w:rPr>
      </w:pPr>
      <w:r w:rsidRPr="00FF2E8E">
        <w:rPr>
          <w:rFonts w:ascii="Book Antiqua" w:eastAsia="Times New Roman" w:hAnsi="Book Antiqua" w:cs="Times New Roman"/>
          <w:b/>
          <w:bCs/>
          <w:sz w:val="24"/>
          <w:szCs w:val="24"/>
        </w:rPr>
        <w:t>Introduction</w:t>
      </w:r>
    </w:p>
    <w:p w14:paraId="52B42958" w14:textId="77777777" w:rsidR="00752718" w:rsidRPr="00FF2E8E" w:rsidRDefault="00752718" w:rsidP="0016688A">
      <w:pPr>
        <w:spacing w:after="0" w:line="240" w:lineRule="auto"/>
        <w:ind w:firstLine="72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 xml:space="preserve">The Toyota Kijang was first launched in Indonesia on June 9, 1977, at the Hilton Hotel in Jakarta, as part of the government's efforts to encourage national industrialization through the automotive sector. The name "Kijang" is an acronym for "Indonesia-Japan Cooperation," reflecting the bilateral synergy between the two countries in supporting local motor vehicle production. The birth of the Toyota Kijang is </w:t>
      </w:r>
      <w:r w:rsidRPr="00FF2E8E">
        <w:rPr>
          <w:rFonts w:ascii="Book Antiqua" w:eastAsia="Times New Roman" w:hAnsi="Book Antiqua" w:cs="Times New Roman"/>
          <w:sz w:val="24"/>
          <w:szCs w:val="24"/>
        </w:rPr>
        <w:lastRenderedPageBreak/>
        <w:t>inseparable from the Multipurpose Commercial Motor Vehicle (KNBS) policy launched by the New Order government in the early 1970s. This program aimed to create simple, functional, and affordable commercial vehicles to support people's economic activities, particularly in the trade and distribution sectors.</w:t>
      </w:r>
      <w:r w:rsidR="00DB4ABE">
        <w:rPr>
          <w:rFonts w:ascii="Book Antiqua" w:eastAsia="Times New Roman" w:hAnsi="Book Antiqua" w:cs="Times New Roman"/>
          <w:sz w:val="24"/>
          <w:szCs w:val="24"/>
        </w:rPr>
        <w:fldChar w:fldCharType="begin" w:fldLock="1"/>
      </w:r>
      <w:r w:rsidR="003B0C3F">
        <w:rPr>
          <w:rFonts w:ascii="Book Antiqua" w:eastAsia="Times New Roman" w:hAnsi="Book Antiqua" w:cs="Times New Roman"/>
          <w:sz w:val="24"/>
          <w:szCs w:val="24"/>
        </w:rPr>
        <w:instrText>ADDIN CSL_CITATION {"citationItems":[{"id":"ITEM-1","itemData":{"author":[{"dropping-particle":"","family":"Maydianta","given":"Mohammad Carendy","non-dropping-particle":"","parse-names":false,"suffix":""}],"id":"ITEM-1","issued":{"date-parts":[["2020"]]},"publisher":"Institut Teknologi Sepuluh Nopember","title":"Desain Mobil Pedesaan dengan Konsep Multifungsi sebagai Sarana Penunjang Aktivitas Masyarakat (Studi Kasus Kecamatan Bangkalan, Madura).","type":"thesis"},"uris":["http://www.mendeley.com/documents/?uuid=eadfb236-52c0-413c-88e3-8bef08e9e11a"]}],"mendeley":{"formattedCitation":"(Maydianta, 2020)","plainTextFormattedCitation":"(Maydianta, 2020)","previouslyFormattedCitation":"(Maydianta, 2020)"},"properties":{"noteIndex":0},"schema":"https://github.com/citation-style-language/schema/raw/master/csl-citation.json"}</w:instrText>
      </w:r>
      <w:r w:rsidR="00DB4ABE">
        <w:rPr>
          <w:rFonts w:ascii="Book Antiqua" w:eastAsia="Times New Roman" w:hAnsi="Book Antiqua" w:cs="Times New Roman"/>
          <w:sz w:val="24"/>
          <w:szCs w:val="24"/>
        </w:rPr>
        <w:fldChar w:fldCharType="separate"/>
      </w:r>
      <w:r w:rsidR="00DB4ABE" w:rsidRPr="00DB4ABE">
        <w:rPr>
          <w:rFonts w:ascii="Book Antiqua" w:eastAsia="Times New Roman" w:hAnsi="Book Antiqua" w:cs="Times New Roman"/>
          <w:noProof/>
          <w:sz w:val="24"/>
          <w:szCs w:val="24"/>
        </w:rPr>
        <w:t>(Maydianta, 2020)</w:t>
      </w:r>
      <w:r w:rsidR="00DB4ABE">
        <w:rPr>
          <w:rFonts w:ascii="Book Antiqua" w:eastAsia="Times New Roman" w:hAnsi="Book Antiqua" w:cs="Times New Roman"/>
          <w:sz w:val="24"/>
          <w:szCs w:val="24"/>
        </w:rPr>
        <w:fldChar w:fldCharType="end"/>
      </w:r>
      <w:r w:rsidRPr="00FF2E8E">
        <w:rPr>
          <w:rFonts w:ascii="Book Antiqua" w:eastAsia="Times New Roman" w:hAnsi="Book Antiqua" w:cs="Times New Roman"/>
          <w:sz w:val="24"/>
          <w:szCs w:val="24"/>
        </w:rPr>
        <w:t>.</w:t>
      </w:r>
    </w:p>
    <w:p w14:paraId="64A2FF71" w14:textId="77777777" w:rsidR="00752718" w:rsidRPr="00FF2E8E" w:rsidRDefault="00752718" w:rsidP="0016688A">
      <w:pPr>
        <w:spacing w:after="0" w:line="240" w:lineRule="auto"/>
        <w:ind w:firstLine="72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Along with the development of consumer needs and socio-economic changes in Indonesian society, the Toyota Kijang underwent a significant transformation. From its initial commercial vehicle with a simple and utilitarian design, the Kijang developed into a Multi-Purpose Vehicle (MPV) family vehicle that prioritizes comfort, safety, and social image. This evolutionary process took place over six generations, starting from the Toyota Kijang Buaya (1977–1981), Toyota Kijang Doyok (1981–1985), to the Toyota Kijang Super (1986–1996) which introduced full pressed body technology and a more modern design. These changes show that the Toyota Kijang is not only adapting technically, but also symbolically as a representation of the middle class that developed during the New Order era.</w:t>
      </w:r>
    </w:p>
    <w:p w14:paraId="5C2E7029" w14:textId="77777777" w:rsidR="00752718" w:rsidRPr="00FF2E8E" w:rsidRDefault="00752718" w:rsidP="0016688A">
      <w:pPr>
        <w:spacing w:after="0" w:line="240" w:lineRule="auto"/>
        <w:ind w:firstLine="72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One of the key factors in the successful repositioning of the Toyota Kijang as a family vehicle was the marketing communications strategy implemented, particularly through television and print media. Toyota Kijang advertisements in the 1980s and 1990s not only emphasized technical features, but also played up emotional narratives surrounding family life, economic stability, and social progress. Public figures/celebrities such as Ray Sahetapy (film star), Dewi Yull (film star, singer) and Jaja Miharja (film star, singer, comedian) were also used as brand ambassadors to strengthen the emotional appeal of the advertisements and build closeness with consumers.</w:t>
      </w:r>
    </w:p>
    <w:p w14:paraId="7C91B420" w14:textId="77777777" w:rsidR="00752718" w:rsidRPr="00FF2E8E" w:rsidRDefault="00752718" w:rsidP="0016688A">
      <w:pPr>
        <w:spacing w:after="0" w:line="240" w:lineRule="auto"/>
        <w:ind w:firstLine="72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The transformation of the Toyota Kijang took place amidst the dynamics of media regulation during the New Order era, including the ban on television advertising in 1981 and restrictions on luxury product advertising after the 1974 Malari incident (The January Fifteenth Disaster, a series of riots that occurred in Jakarta on January 15-16, 1974. These riots were triggered by student demonstrations rejecting the New Order government's policies regarding foreign investment, especially from Japan). Nevertheless, Toyota was able to adapt its marketing strategy while maintaining the consistency of its brand image across various communication platforms.</w:t>
      </w:r>
    </w:p>
    <w:p w14:paraId="7CB82AA7" w14:textId="77777777" w:rsidR="00752718" w:rsidRPr="00FF2E8E" w:rsidRDefault="00752718" w:rsidP="0016688A">
      <w:pPr>
        <w:spacing w:after="0" w:line="240" w:lineRule="auto"/>
        <w:ind w:firstLine="72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This study aims to analyze how the transformation of the Toyota Kijang's function and image is influenced by brand communication strategies, government policies, and Indonesian consumer culture. Using a historical approach and descriptive analysis, this article seeks to explain the relationship between vehicles, media, and society in shaping a national automotive identity that is not only functional but also symbolic.</w:t>
      </w:r>
    </w:p>
    <w:p w14:paraId="404952C3" w14:textId="77777777" w:rsidR="00752718" w:rsidRDefault="00752718" w:rsidP="0016688A">
      <w:pPr>
        <w:spacing w:after="0" w:line="240" w:lineRule="auto"/>
        <w:ind w:firstLine="720"/>
        <w:jc w:val="both"/>
        <w:rPr>
          <w:rFonts w:ascii="Book Antiqua" w:hAnsi="Book Antiqua"/>
          <w:sz w:val="24"/>
          <w:szCs w:val="24"/>
        </w:rPr>
      </w:pPr>
      <w:r w:rsidRPr="00FF2E8E">
        <w:rPr>
          <w:rFonts w:ascii="Book Antiqua" w:hAnsi="Book Antiqua"/>
          <w:sz w:val="24"/>
          <w:szCs w:val="24"/>
        </w:rPr>
        <w:t>Based on the background that has been described, this research is directed at answering several main problems that</w:t>
      </w:r>
      <w:r w:rsidRPr="00FF2E8E">
        <w:rPr>
          <w:rFonts w:ascii="Book Antiqua" w:eastAsia="Times New Roman" w:hAnsi="Book Antiqua" w:cs="Times New Roman"/>
          <w:sz w:val="24"/>
          <w:szCs w:val="24"/>
        </w:rPr>
        <w:t>related</w:t>
      </w:r>
      <w:r w:rsidRPr="00FF2E8E">
        <w:rPr>
          <w:rFonts w:ascii="Book Antiqua" w:hAnsi="Book Antiqua"/>
          <w:sz w:val="24"/>
          <w:szCs w:val="24"/>
        </w:rPr>
        <w:t>with the success of the Toyota Kijang in Indonesia. First, this study aims to examine the role of government policy, particularly through the Multipurpose Commercial Vehicle Program (KNBS), in supporting the birth and development of the Toyota Kijang as a vehicle suited to the needs of the Indonesian people. Second, this study seeks to understand how Toyota's marketing communication strategy—particularly through television advertising media such as TVRI, print media, and the use of celebrity endorsers—contributed to shaping the image of the Toyota Kijang as an iconic and consumer-friendly family vehicle. Furthermore, in the context of strict media regulations during the New Order era, this study will also discuss how Toyota adjusted its promotional strategy to maintain its brand existence and competitiveness amidst restrictions on television advertising. Finally, this study will examine how the implementation of the 7P marketing mix elements (</w:t>
      </w:r>
      <w:r w:rsidRPr="00FF2E8E">
        <w:rPr>
          <w:rFonts w:ascii="Book Antiqua" w:hAnsi="Book Antiqua"/>
          <w:i/>
          <w:color w:val="001D35"/>
          <w:sz w:val="24"/>
          <w:szCs w:val="24"/>
          <w:shd w:val="clear" w:color="auto" w:fill="FFFFFF"/>
        </w:rPr>
        <w:t>Product, Price, Place, People, Process</w:t>
      </w:r>
      <w:r w:rsidRPr="00FF2E8E">
        <w:rPr>
          <w:rFonts w:ascii="Book Antiqua" w:hAnsi="Book Antiqua"/>
          <w:color w:val="001D35"/>
          <w:sz w:val="24"/>
          <w:szCs w:val="24"/>
          <w:shd w:val="clear" w:color="auto" w:fill="FFFFFF"/>
        </w:rPr>
        <w:t>and Physical Evidence</w:t>
      </w:r>
      <w:r w:rsidRPr="00FF2E8E">
        <w:rPr>
          <w:rFonts w:ascii="Book Antiqua" w:hAnsi="Book Antiqua"/>
          <w:sz w:val="24"/>
          <w:szCs w:val="24"/>
        </w:rPr>
        <w:t>)—which includes product, price, place, promotion, people, process, and physical evidence—plays a role in building consumer loyalty and supporting Toyota Kijang's dominance in the national automotive market.</w:t>
      </w:r>
    </w:p>
    <w:p w14:paraId="57F8D3B0" w14:textId="77777777" w:rsidR="00FF2E8E" w:rsidRPr="00FF2E8E" w:rsidRDefault="00FF2E8E" w:rsidP="00FF2E8E">
      <w:pPr>
        <w:spacing w:after="0" w:line="240" w:lineRule="auto"/>
        <w:ind w:firstLine="720"/>
        <w:jc w:val="both"/>
        <w:rPr>
          <w:rFonts w:ascii="Book Antiqua" w:hAnsi="Book Antiqua"/>
          <w:sz w:val="24"/>
          <w:szCs w:val="24"/>
        </w:rPr>
      </w:pPr>
      <w:r w:rsidRPr="00FF2E8E">
        <w:rPr>
          <w:rFonts w:ascii="Book Antiqua" w:hAnsi="Book Antiqua"/>
          <w:sz w:val="24"/>
          <w:szCs w:val="24"/>
        </w:rPr>
        <w:t>This research draws on several key theories that underlie understanding Toyota's marketing strategy and product innovation. One such theory is the Theory of Product Transformation and Innovation, which explains how products can evolve to reflect changing consumer needs and preferences. For example, the transformation of the Toyota Kijang from a commercial vehicle to a family car is a product adaptation that reflects dynamic market changes, in line with Kotler's perspective.</w:t>
      </w:r>
      <w:r w:rsidR="003B0C3F">
        <w:rPr>
          <w:rFonts w:ascii="Book Antiqua" w:hAnsi="Book Antiqua"/>
          <w:sz w:val="24"/>
          <w:szCs w:val="24"/>
        </w:rPr>
        <w:fldChar w:fldCharType="begin" w:fldLock="1"/>
      </w:r>
      <w:r w:rsidR="00106EBD">
        <w:rPr>
          <w:rFonts w:ascii="Book Antiqua" w:hAnsi="Book Antiqua"/>
          <w:sz w:val="24"/>
          <w:szCs w:val="24"/>
        </w:rPr>
        <w:instrText>ADDIN CSL_CITATION {"citationItems":[{"id":"ITEM-1","itemData":{"author":[{"dropping-particle":"","family":"Kotler","given":"Philip","non-dropping-particle":"","parse-names":false,"suffix":""},{"dropping-particle":"","family":"Keller","given":"Kevin Lane","non-dropping-particle":"","parse-names":false,"suffix":""},{"dropping-particle":"","family":"Ang","given":"Swee Hoon","non-dropping-particle":"","parse-names":false,"suffix":""},{"dropping-particle":"","family":"Tan","given":"Chin Tiong","non-dropping-particle":"","parse-names":false,"suffix":""},{"dropping-particle":"","family":"Leong","given":"Siew Meng","non-dropping-particle":"","parse-names":false,"suffix":""}],"id":"ITEM-1","issued":{"date-parts":[["2018"]]},"publisher":"Pearson Harlow","title":"Marketing management: an Asian perspective","type":"book"},"suppress-author":1,"uris":["http://www.mendeley.com/documents/?uuid=9878a3ec-b477-4517-901b-abb4e62dafc9"]}],"mendeley":{"formattedCitation":"(2018)","plainTextFormattedCitation":"(2018)","previouslyFormattedCitation":"(2018)"},"properties":{"noteIndex":0},"schema":"https://github.com/citation-style-language/schema/raw/master/csl-citation.json"}</w:instrText>
      </w:r>
      <w:r w:rsidR="003B0C3F">
        <w:rPr>
          <w:rFonts w:ascii="Book Antiqua" w:hAnsi="Book Antiqua"/>
          <w:sz w:val="24"/>
          <w:szCs w:val="24"/>
        </w:rPr>
        <w:fldChar w:fldCharType="separate"/>
      </w:r>
      <w:r w:rsidR="003B0C3F" w:rsidRPr="003B0C3F">
        <w:rPr>
          <w:rFonts w:ascii="Book Antiqua" w:hAnsi="Book Antiqua"/>
          <w:noProof/>
          <w:sz w:val="24"/>
          <w:szCs w:val="24"/>
        </w:rPr>
        <w:t>(2018)</w:t>
      </w:r>
      <w:r w:rsidR="003B0C3F">
        <w:rPr>
          <w:rFonts w:ascii="Book Antiqua" w:hAnsi="Book Antiqua"/>
          <w:sz w:val="24"/>
          <w:szCs w:val="24"/>
        </w:rPr>
        <w:fldChar w:fldCharType="end"/>
      </w:r>
      <w:r w:rsidRPr="00FF2E8E">
        <w:rPr>
          <w:rFonts w:ascii="Book Antiqua" w:hAnsi="Book Antiqua"/>
          <w:sz w:val="24"/>
          <w:szCs w:val="24"/>
        </w:rPr>
        <w:t>In this regard, Toyota has successfully transformed its product characteristics to meet evolving consumer needs, particularly in the context of growing family mobility.</w:t>
      </w:r>
    </w:p>
    <w:p w14:paraId="7FDDE066" w14:textId="77777777" w:rsidR="00FF2E8E" w:rsidRPr="00FF2E8E" w:rsidRDefault="00FF2E8E" w:rsidP="00FF2E8E">
      <w:pPr>
        <w:spacing w:after="0" w:line="240" w:lineRule="auto"/>
        <w:ind w:firstLine="720"/>
        <w:jc w:val="both"/>
        <w:rPr>
          <w:rFonts w:ascii="Book Antiqua" w:hAnsi="Book Antiqua"/>
          <w:sz w:val="24"/>
          <w:szCs w:val="24"/>
        </w:rPr>
      </w:pPr>
      <w:r w:rsidRPr="00FF2E8E">
        <w:rPr>
          <w:rFonts w:ascii="Book Antiqua" w:hAnsi="Book Antiqua"/>
          <w:sz w:val="24"/>
          <w:szCs w:val="24"/>
        </w:rPr>
        <w:t>Marketing Strategy Theory and the Marketing Mix (Marketing Mix 7Ps) are also important parts of this theoretical framework. According to Nurhayaty</w:t>
      </w:r>
      <w:r w:rsidR="00106EBD">
        <w:rPr>
          <w:rFonts w:ascii="Book Antiqua" w:hAnsi="Book Antiqua"/>
          <w:sz w:val="24"/>
          <w:szCs w:val="24"/>
        </w:rPr>
        <w:fldChar w:fldCharType="begin" w:fldLock="1"/>
      </w:r>
      <w:r w:rsidR="00924425">
        <w:rPr>
          <w:rFonts w:ascii="Book Antiqua" w:hAnsi="Book Antiqua"/>
          <w:sz w:val="24"/>
          <w:szCs w:val="24"/>
        </w:rPr>
        <w:instrText>ADDIN CSL_CITATION {"citationItems":[{"id":"ITEM-1","itemData":{"author":[{"dropping-particle":"","family":"Nurhayaty","given":"Maria","non-dropping-particle":"","parse-names":false,"suffix":""}],"container-title":"Jurnal Media Teknologi","id":"ITEM-1","issue":"2","issued":{"date-parts":[["2022"]]},"page":"119-127","title":"Strategi mix marketing (product, price, place, promotion, eople, process, physical evidence) 7p di pd rasa galendo kabupaten ciamis","type":"article-journal","volume":"8"},"suppress-author":1,"uris":["http://www.mendeley.com/documents/?uuid=95cf57ca-060f-4a60-a87f-41445e3a97d1"]}],"mendeley":{"formattedCitation":"(2022)","plainTextFormattedCitation":"(2022)","previouslyFormattedCitation":"(2022)"},"properties":{"noteIndex":0},"schema":"https://github.com/citation-style-language/schema/raw/master/csl-citation.json"}</w:instrText>
      </w:r>
      <w:r w:rsidR="00106EBD">
        <w:rPr>
          <w:rFonts w:ascii="Book Antiqua" w:hAnsi="Book Antiqua"/>
          <w:sz w:val="24"/>
          <w:szCs w:val="24"/>
        </w:rPr>
        <w:fldChar w:fldCharType="separate"/>
      </w:r>
      <w:r w:rsidR="00106EBD" w:rsidRPr="00106EBD">
        <w:rPr>
          <w:rFonts w:ascii="Book Antiqua" w:hAnsi="Book Antiqua"/>
          <w:noProof/>
          <w:sz w:val="24"/>
          <w:szCs w:val="24"/>
        </w:rPr>
        <w:t>(2022)</w:t>
      </w:r>
      <w:r w:rsidR="00106EBD">
        <w:rPr>
          <w:rFonts w:ascii="Book Antiqua" w:hAnsi="Book Antiqua"/>
          <w:sz w:val="24"/>
          <w:szCs w:val="24"/>
        </w:rPr>
        <w:fldChar w:fldCharType="end"/>
      </w:r>
      <w:r w:rsidRPr="00FF2E8E">
        <w:rPr>
          <w:rFonts w:ascii="Book Antiqua" w:hAnsi="Book Antiqua"/>
          <w:sz w:val="24"/>
          <w:szCs w:val="24"/>
        </w:rPr>
        <w:t>, the marketing mix, consisting of seven elements—Product, Price, Place, Promotion, People, Process, and Physical Evidence—can be used to analyze how Toyota manages its overall marketing strategy. The application of the 7Ps in the context of the Toyota Kijang highlights the importance of product management, pricing, distribution, promotion, and other aspects that support the achievement of sustainable market success. Each element in the marketing mix is interrelated and supports each other to create an optimal consumer experience.</w:t>
      </w:r>
    </w:p>
    <w:p w14:paraId="7DF6A49C" w14:textId="77777777" w:rsidR="00FF2E8E" w:rsidRPr="00FF2E8E" w:rsidRDefault="00FF2E8E" w:rsidP="00FF2E8E">
      <w:pPr>
        <w:spacing w:after="0" w:line="240" w:lineRule="auto"/>
        <w:ind w:firstLine="720"/>
        <w:jc w:val="both"/>
        <w:rPr>
          <w:rFonts w:ascii="Book Antiqua" w:hAnsi="Book Antiqua"/>
          <w:sz w:val="24"/>
          <w:szCs w:val="24"/>
        </w:rPr>
      </w:pPr>
      <w:r w:rsidRPr="00FF2E8E">
        <w:rPr>
          <w:rFonts w:ascii="Book Antiqua" w:hAnsi="Book Antiqua"/>
          <w:sz w:val="24"/>
          <w:szCs w:val="24"/>
        </w:rPr>
        <w:t>Mass Communication and Emotional Promotion Theory also explains the role of media in shaping brand image and consumer relationships. According to Yusuf</w:t>
      </w:r>
      <w:r w:rsidR="00924425">
        <w:rPr>
          <w:rFonts w:ascii="Book Antiqua" w:hAnsi="Book Antiqua"/>
          <w:sz w:val="24"/>
          <w:szCs w:val="24"/>
        </w:rPr>
        <w:fldChar w:fldCharType="begin" w:fldLock="1"/>
      </w:r>
      <w:r w:rsidR="00E91A01">
        <w:rPr>
          <w:rFonts w:ascii="Book Antiqua" w:hAnsi="Book Antiqua"/>
          <w:sz w:val="24"/>
          <w:szCs w:val="24"/>
        </w:rPr>
        <w:instrText>ADDIN CSL_CITATION {"citationItems":[{"id":"ITEM-1","itemData":{"author":[{"dropping-particle":"","family":"Yusuf","given":"Hudi","non-dropping-particle":"","parse-names":false,"suffix":""},{"dropping-particle":"","family":"others","given":"","non-dropping-particle":"","parse-names":false,"suffix":""}],"container-title":"Jurnal Intelek Dan Cendikiawan Nusantara","id":"ITEM-1","issue":"2","issued":{"date-parts":[["2024"]]},"page":"1047-1061","title":"Pengaruh Media Massa Terhadap Persepsi Dan Tingkat Kriminalitas: Analisis Terhadap Efek Media Dalam Pembentukan Opini Publik","type":"article-journal","volume":"1"},"suppress-author":1,"uris":["http://www.mendeley.com/documents/?uuid=19855624-cf7a-442e-9e53-496532027ec1"]}],"mendeley":{"formattedCitation":"(2024)","plainTextFormattedCitation":"(2024)","previouslyFormattedCitation":"(2024)"},"properties":{"noteIndex":0},"schema":"https://github.com/citation-style-language/schema/raw/master/csl-citation.json"}</w:instrText>
      </w:r>
      <w:r w:rsidR="00924425">
        <w:rPr>
          <w:rFonts w:ascii="Book Antiqua" w:hAnsi="Book Antiqua"/>
          <w:sz w:val="24"/>
          <w:szCs w:val="24"/>
        </w:rPr>
        <w:fldChar w:fldCharType="separate"/>
      </w:r>
      <w:r w:rsidR="00924425" w:rsidRPr="00924425">
        <w:rPr>
          <w:rFonts w:ascii="Book Antiqua" w:hAnsi="Book Antiqua"/>
          <w:noProof/>
          <w:sz w:val="24"/>
          <w:szCs w:val="24"/>
        </w:rPr>
        <w:t>(2024)</w:t>
      </w:r>
      <w:r w:rsidR="00924425">
        <w:rPr>
          <w:rFonts w:ascii="Book Antiqua" w:hAnsi="Book Antiqua"/>
          <w:sz w:val="24"/>
          <w:szCs w:val="24"/>
        </w:rPr>
        <w:fldChar w:fldCharType="end"/>
      </w:r>
      <w:r w:rsidRPr="00FF2E8E">
        <w:rPr>
          <w:rFonts w:ascii="Book Antiqua" w:hAnsi="Book Antiqua"/>
          <w:sz w:val="24"/>
          <w:szCs w:val="24"/>
        </w:rPr>
        <w:t>Mass media has tremendous power in shaping public opinion, including influencing brand perceptions. In this regard, Toyota leverages media such as television and print advertising to build emotional connections with consumers, strengthen its brand image, and foster customer loyalty. This emotionally focused promotion is highly effective in strengthening Toyota's brand appeal in an increasingly competitive marketplace.</w:t>
      </w:r>
    </w:p>
    <w:p w14:paraId="7A15E2BD" w14:textId="77777777" w:rsidR="00FF2E8E" w:rsidRPr="00FF2E8E" w:rsidRDefault="00FF2E8E" w:rsidP="00FF2E8E">
      <w:pPr>
        <w:spacing w:after="0" w:line="240" w:lineRule="auto"/>
        <w:ind w:firstLine="720"/>
        <w:jc w:val="both"/>
        <w:rPr>
          <w:rFonts w:ascii="Book Antiqua" w:hAnsi="Book Antiqua"/>
          <w:sz w:val="24"/>
          <w:szCs w:val="24"/>
        </w:rPr>
      </w:pPr>
      <w:r w:rsidRPr="00FF2E8E">
        <w:rPr>
          <w:rFonts w:ascii="Book Antiqua" w:hAnsi="Book Antiqua"/>
          <w:sz w:val="24"/>
          <w:szCs w:val="24"/>
        </w:rPr>
        <w:t>In addition, the theory of Media Policy and Regulation discusses how government policies and media regulations influence marketing communication strategies. This research considers the importance of historical context, particularly the ban on television advertising during the New Order era, which forced companies like Toyota to adapt to prevailing policies. According to Imani</w:t>
      </w:r>
      <w:r w:rsidR="00E91A01">
        <w:rPr>
          <w:rFonts w:ascii="Book Antiqua" w:hAnsi="Book Antiqua"/>
          <w:sz w:val="24"/>
          <w:szCs w:val="24"/>
        </w:rPr>
        <w:fldChar w:fldCharType="begin" w:fldLock="1"/>
      </w:r>
      <w:r w:rsidR="00E91A01">
        <w:rPr>
          <w:rFonts w:ascii="Book Antiqua" w:hAnsi="Book Antiqua"/>
          <w:sz w:val="24"/>
          <w:szCs w:val="24"/>
        </w:rPr>
        <w:instrText>ADDIN CSL_CITATION {"citationItems":[{"id":"ITEM-1","itemData":{"author":[{"dropping-particle":"","family":"Imani","given":"M Fathrezza","non-dropping-particle":"","parse-names":false,"suffix":""},{"dropping-particle":"","family":"Fikri","given":"M Khoirul","non-dropping-particle":"","parse-names":false,"suffix":""},{"dropping-particle":"","family":"Filzah","given":"Almas","non-dropping-particle":"","parse-names":false,"suffix":""}],"container-title":"Jurnal Ilmu Manajemen, Ekonomi Dan Kewirausahaan","id":"ITEM-1","issue":"1","issued":{"date-parts":[["2022"]]},"page":"117-138","title":"Pengaruh kreatif, inovasi dan strategi pemasaran terhadap peningkatan daya beli konsumen","type":"article-journal","volume":"2"},"suppress-author":1,"uris":["http://www.mendeley.com/documents/?uuid=6bf79c9a-1793-48fe-b16f-375d62649f76"]}],"mendeley":{"formattedCitation":"(2022)","plainTextFormattedCitation":"(2022)","previouslyFormattedCitation":"(2022)"},"properties":{"noteIndex":0},"schema":"https://github.com/citation-style-language/schema/raw/master/csl-citation.json"}</w:instrText>
      </w:r>
      <w:r w:rsidR="00E91A01">
        <w:rPr>
          <w:rFonts w:ascii="Book Antiqua" w:hAnsi="Book Antiqua"/>
          <w:sz w:val="24"/>
          <w:szCs w:val="24"/>
        </w:rPr>
        <w:fldChar w:fldCharType="separate"/>
      </w:r>
      <w:r w:rsidR="00E91A01" w:rsidRPr="00E91A01">
        <w:rPr>
          <w:rFonts w:ascii="Book Antiqua" w:hAnsi="Book Antiqua"/>
          <w:noProof/>
          <w:sz w:val="24"/>
          <w:szCs w:val="24"/>
        </w:rPr>
        <w:t>(2022)</w:t>
      </w:r>
      <w:r w:rsidR="00E91A01">
        <w:rPr>
          <w:rFonts w:ascii="Book Antiqua" w:hAnsi="Book Antiqua"/>
          <w:sz w:val="24"/>
          <w:szCs w:val="24"/>
        </w:rPr>
        <w:fldChar w:fldCharType="end"/>
      </w:r>
      <w:r w:rsidRPr="00FF2E8E">
        <w:rPr>
          <w:rFonts w:ascii="Book Antiqua" w:hAnsi="Book Antiqua"/>
          <w:sz w:val="24"/>
          <w:szCs w:val="24"/>
        </w:rPr>
        <w:t>Government regulations can shape more creative and innovative promotional strategies. Toyota, in this case, must adapt its marketing strategy to existing regulations to continue communicating effectively with its audience.</w:t>
      </w:r>
    </w:p>
    <w:p w14:paraId="34A8666B" w14:textId="77777777" w:rsidR="00FF2E8E" w:rsidRPr="00FF2E8E" w:rsidRDefault="00FF2E8E" w:rsidP="00FF2E8E">
      <w:pPr>
        <w:spacing w:after="0" w:line="240" w:lineRule="auto"/>
        <w:ind w:firstLine="720"/>
        <w:jc w:val="both"/>
        <w:rPr>
          <w:rFonts w:ascii="Book Antiqua" w:hAnsi="Book Antiqua"/>
          <w:sz w:val="24"/>
          <w:szCs w:val="24"/>
        </w:rPr>
      </w:pPr>
      <w:r w:rsidRPr="00FF2E8E">
        <w:rPr>
          <w:rFonts w:ascii="Book Antiqua" w:hAnsi="Book Antiqua"/>
          <w:sz w:val="24"/>
          <w:szCs w:val="24"/>
        </w:rPr>
        <w:t>Finally, the theory of Consumer Culture explains how a society's cultural values and norms influence consumption patterns and purchasing behavior.</w:t>
      </w:r>
      <w:r w:rsidR="00E91A01">
        <w:rPr>
          <w:rFonts w:ascii="Book Antiqua" w:hAnsi="Book Antiqua"/>
          <w:sz w:val="24"/>
          <w:szCs w:val="24"/>
        </w:rPr>
        <w:fldChar w:fldCharType="begin" w:fldLock="1"/>
      </w:r>
      <w:r w:rsidR="001C2A5B">
        <w:rPr>
          <w:rFonts w:ascii="Book Antiqua" w:hAnsi="Book Antiqua"/>
          <w:sz w:val="24"/>
          <w:szCs w:val="24"/>
        </w:rPr>
        <w:instrText>ADDIN CSL_CITATION {"citationItems":[{"id":"ITEM-1","itemData":{"author":[{"dropping-particle":"","family":"Huda","given":"Nurul","non-dropping-particle":"","parse-names":false,"suffix":""},{"dropping-particle":"","family":"Korbaffo","given":"Yesus Armiro","non-dropping-particle":"","parse-names":false,"suffix":""},{"dropping-particle":"","family":"Timo","given":"Fredirikus","non-dropping-particle":"","parse-names":false,"suffix":""}],"container-title":"Inspirasi Ekonomi","id":"ITEM-1","issue":"1","issued":{"date-parts":[["2021"]]},"page":"349935","publisher":"University of Timor","title":"Analisis Faktor-faktor yang Mempengaruhi Konsumen dalam Pengambilan Keputusan Pembelian Kitab Cetakan Beirut","type":"article-journal","volume":"3"},"suppress-author":1,"uris":["http://www.mendeley.com/documents/?uuid=70d5a726-c1e7-42da-82cd-c15f08662afd"]}],"mendeley":{"formattedCitation":"(2021)","plainTextFormattedCitation":"(2021)","previouslyFormattedCitation":"(2021)"},"properties":{"noteIndex":0},"schema":"https://github.com/citation-style-language/schema/raw/master/csl-citation.json"}</w:instrText>
      </w:r>
      <w:r w:rsidR="00E91A01">
        <w:rPr>
          <w:rFonts w:ascii="Book Antiqua" w:hAnsi="Book Antiqua"/>
          <w:sz w:val="24"/>
          <w:szCs w:val="24"/>
        </w:rPr>
        <w:fldChar w:fldCharType="separate"/>
      </w:r>
      <w:r w:rsidR="00E91A01" w:rsidRPr="00E91A01">
        <w:rPr>
          <w:rFonts w:ascii="Book Antiqua" w:hAnsi="Book Antiqua"/>
          <w:noProof/>
          <w:sz w:val="24"/>
          <w:szCs w:val="24"/>
        </w:rPr>
        <w:t>(2021)</w:t>
      </w:r>
      <w:r w:rsidR="00E91A01">
        <w:rPr>
          <w:rFonts w:ascii="Book Antiqua" w:hAnsi="Book Antiqua"/>
          <w:sz w:val="24"/>
          <w:szCs w:val="24"/>
        </w:rPr>
        <w:fldChar w:fldCharType="end"/>
      </w:r>
      <w:r w:rsidRPr="00FF2E8E">
        <w:rPr>
          <w:rFonts w:ascii="Book Antiqua" w:hAnsi="Book Antiqua"/>
          <w:sz w:val="24"/>
          <w:szCs w:val="24"/>
        </w:rPr>
        <w:t>suggests that consumer culture plays a significant role in influencing purchasing decisions. In this regard, the transformation of the Toyota Kijang can be seen as a reflection of changes in Indonesian family culture, which increasingly emphasizes the importance of comfortable, practical, and affordable family vehicles. This change illustrates how the social and economic needs of Indonesians influence their preferences for the products they consume.</w:t>
      </w:r>
    </w:p>
    <w:p w14:paraId="3B6DF728" w14:textId="77777777" w:rsidR="00752718" w:rsidRPr="00FF2E8E" w:rsidRDefault="00752718" w:rsidP="0016688A">
      <w:pPr>
        <w:pStyle w:val="Heading3"/>
        <w:spacing w:before="0" w:beforeAutospacing="0" w:after="0" w:afterAutospacing="0"/>
        <w:jc w:val="both"/>
        <w:rPr>
          <w:rStyle w:val="Strong"/>
          <w:rFonts w:ascii="Book Antiqua" w:eastAsiaTheme="majorEastAsia" w:hAnsi="Book Antiqua"/>
          <w:b/>
          <w:sz w:val="24"/>
          <w:szCs w:val="24"/>
        </w:rPr>
      </w:pPr>
    </w:p>
    <w:p w14:paraId="04AF7CAC" w14:textId="77777777" w:rsidR="00752718" w:rsidRPr="00FF2E8E" w:rsidRDefault="00752718" w:rsidP="0016688A">
      <w:pPr>
        <w:pStyle w:val="Heading3"/>
        <w:spacing w:before="0" w:beforeAutospacing="0" w:after="0" w:afterAutospacing="0"/>
        <w:jc w:val="both"/>
        <w:rPr>
          <w:rFonts w:ascii="Book Antiqua" w:hAnsi="Book Antiqua"/>
          <w:b w:val="0"/>
          <w:sz w:val="24"/>
          <w:szCs w:val="24"/>
        </w:rPr>
      </w:pPr>
      <w:r w:rsidRPr="00FF2E8E">
        <w:rPr>
          <w:rStyle w:val="Strong"/>
          <w:rFonts w:ascii="Book Antiqua" w:eastAsiaTheme="majorEastAsia" w:hAnsi="Book Antiqua"/>
          <w:b/>
          <w:sz w:val="24"/>
          <w:szCs w:val="24"/>
        </w:rPr>
        <w:t>Method</w:t>
      </w:r>
    </w:p>
    <w:p w14:paraId="5B4E7C5E" w14:textId="77777777" w:rsidR="00752718" w:rsidRPr="00FF2E8E" w:rsidRDefault="00752718" w:rsidP="00511168">
      <w:pPr>
        <w:spacing w:after="0" w:line="240" w:lineRule="auto"/>
        <w:ind w:firstLine="720"/>
        <w:jc w:val="both"/>
        <w:rPr>
          <w:rFonts w:ascii="Book Antiqua" w:hAnsi="Book Antiqua"/>
          <w:sz w:val="24"/>
          <w:szCs w:val="24"/>
        </w:rPr>
      </w:pPr>
      <w:r w:rsidRPr="00FF2E8E">
        <w:rPr>
          <w:rFonts w:ascii="Book Antiqua" w:hAnsi="Book Antiqua"/>
          <w:sz w:val="24"/>
          <w:szCs w:val="24"/>
        </w:rPr>
        <w:t>This research uses</w:t>
      </w:r>
      <w:r w:rsidRPr="00FF2E8E">
        <w:rPr>
          <w:rStyle w:val="Strong"/>
          <w:rFonts w:ascii="Book Antiqua" w:eastAsiaTheme="majorEastAsia" w:hAnsi="Book Antiqua"/>
          <w:b w:val="0"/>
          <w:sz w:val="24"/>
          <w:szCs w:val="24"/>
        </w:rPr>
        <w:t>historical method</w:t>
      </w:r>
      <w:r w:rsidRPr="00FF2E8E">
        <w:rPr>
          <w:rFonts w:ascii="Book Antiqua" w:hAnsi="Book Antiqua"/>
          <w:sz w:val="24"/>
          <w:szCs w:val="24"/>
        </w:rPr>
        <w:t>with a qualitative approach. The main primary sources used were Toyota Kijang advertisements that appeared on</w:t>
      </w:r>
      <w:r w:rsidRPr="00FF2E8E">
        <w:rPr>
          <w:rStyle w:val="Strong"/>
          <w:rFonts w:ascii="Book Antiqua" w:eastAsiaTheme="majorEastAsia" w:hAnsi="Book Antiqua"/>
          <w:sz w:val="24"/>
          <w:szCs w:val="24"/>
        </w:rPr>
        <w:t>TVRI</w:t>
      </w:r>
      <w:r w:rsidRPr="00FF2E8E">
        <w:rPr>
          <w:rFonts w:ascii="Book Antiqua" w:hAnsi="Book Antiqua"/>
          <w:sz w:val="24"/>
          <w:szCs w:val="24"/>
        </w:rPr>
        <w:t>and print media advertisements from 1977 to 1990. Secondary sources, including news archives, automotive magazines, and historical documentation of the national automotive industry, were also used. The analysis was conducted by examining the narrative, visuals, and socio-cultural context of the advertisements.</w:t>
      </w:r>
    </w:p>
    <w:p w14:paraId="6D061097" w14:textId="77777777" w:rsidR="00752718" w:rsidRPr="00FF2E8E" w:rsidRDefault="00752718" w:rsidP="00511168">
      <w:pPr>
        <w:spacing w:after="0" w:line="240" w:lineRule="auto"/>
        <w:ind w:firstLine="720"/>
        <w:jc w:val="both"/>
        <w:rPr>
          <w:rFonts w:ascii="Book Antiqua" w:hAnsi="Book Antiqua" w:cs="Times New Roman"/>
          <w:sz w:val="24"/>
          <w:szCs w:val="24"/>
        </w:rPr>
      </w:pPr>
      <w:r w:rsidRPr="00FF2E8E">
        <w:rPr>
          <w:rFonts w:ascii="Book Antiqua" w:hAnsi="Book Antiqua" w:cs="Times New Roman"/>
          <w:sz w:val="24"/>
          <w:szCs w:val="24"/>
        </w:rPr>
        <w:t xml:space="preserve">Historical research is the study of events or occurrences in humanity's past. Its goal is to reconstruct the past systematically and objectively. This goal can be achieved using historical </w:t>
      </w:r>
      <w:proofErr w:type="gramStart"/>
      <w:r w:rsidRPr="00FF2E8E">
        <w:rPr>
          <w:rFonts w:ascii="Book Antiqua" w:hAnsi="Book Antiqua" w:cs="Times New Roman"/>
          <w:sz w:val="24"/>
          <w:szCs w:val="24"/>
        </w:rPr>
        <w:t>methods.</w:t>
      </w:r>
      <w:r w:rsidRPr="00FF2E8E">
        <w:rPr>
          <w:rFonts w:ascii="Book Antiqua" w:eastAsia="Times New Roman" w:hAnsi="Book Antiqua" w:cs="Times New Roman"/>
          <w:sz w:val="24"/>
          <w:szCs w:val="24"/>
          <w:lang w:val="id-ID"/>
        </w:rPr>
        <w:t>Historical</w:t>
      </w:r>
      <w:proofErr w:type="gramEnd"/>
      <w:r w:rsidRPr="00FF2E8E">
        <w:rPr>
          <w:rFonts w:ascii="Book Antiqua" w:eastAsia="Times New Roman" w:hAnsi="Book Antiqua" w:cs="Times New Roman"/>
          <w:sz w:val="24"/>
          <w:szCs w:val="24"/>
          <w:lang w:val="id-ID"/>
        </w:rPr>
        <w:t xml:space="preserve"> methods are the steps used in historical research. The purpose of</w:t>
      </w:r>
      <w:r w:rsidRPr="00511168">
        <w:rPr>
          <w:rFonts w:ascii="Book Antiqua" w:hAnsi="Book Antiqua"/>
          <w:sz w:val="24"/>
          <w:szCs w:val="24"/>
        </w:rPr>
        <w:t>method</w:t>
      </w:r>
      <w:r w:rsidRPr="00FF2E8E">
        <w:rPr>
          <w:rFonts w:ascii="Book Antiqua" w:eastAsia="Times New Roman" w:hAnsi="Book Antiqua" w:cs="Times New Roman"/>
          <w:sz w:val="24"/>
          <w:szCs w:val="24"/>
          <w:lang w:val="id-ID"/>
        </w:rPr>
        <w:t>History is collecting historical sources effectively, evaluating them critically, and presenting a written synthesis of the results achieved.</w:t>
      </w:r>
    </w:p>
    <w:p w14:paraId="1CB76705" w14:textId="028970EF" w:rsidR="00752718" w:rsidRPr="00511168" w:rsidRDefault="00752718" w:rsidP="00511168">
      <w:pPr>
        <w:spacing w:after="0" w:line="240" w:lineRule="auto"/>
        <w:ind w:firstLine="720"/>
        <w:jc w:val="both"/>
        <w:rPr>
          <w:rFonts w:ascii="Book Antiqua" w:hAnsi="Book Antiqua"/>
          <w:sz w:val="24"/>
          <w:szCs w:val="24"/>
        </w:rPr>
      </w:pPr>
      <w:r w:rsidRPr="00FF2E8E">
        <w:rPr>
          <w:rFonts w:ascii="Book Antiqua" w:hAnsi="Book Antiqua" w:cs="Times New Roman"/>
          <w:sz w:val="24"/>
          <w:szCs w:val="24"/>
        </w:rPr>
        <w:t>Furthermore, according to DP</w:t>
      </w:r>
      <w:r w:rsidR="001C2A5B">
        <w:rPr>
          <w:rFonts w:ascii="Book Antiqua" w:hAnsi="Book Antiqua" w:cs="Times New Roman"/>
          <w:sz w:val="24"/>
          <w:szCs w:val="24"/>
        </w:rPr>
        <w:fldChar w:fldCharType="begin" w:fldLock="1"/>
      </w:r>
      <w:r w:rsidR="00F76C95">
        <w:rPr>
          <w:rFonts w:ascii="Book Antiqua" w:hAnsi="Book Antiqua" w:cs="Times New Roman"/>
          <w:sz w:val="24"/>
          <w:szCs w:val="24"/>
        </w:rPr>
        <w:instrText>ADDIN CSL_CITATION {"citationItems":[{"id":"ITEM-1","itemData":{"author":[{"dropping-particle":"","family":"DP","given":"USMAN","non-dropping-particle":"","parse-names":false,"suffix":""}],"container-title":"Darul Ulum: Jurnal Ilmiah Keagamaan, Pendidikan Dan Kemasyarakatan","id":"ITEM-1","issue":"1","issued":{"date-parts":[["2022"]]},"page":"51-74","title":"Pendidikan Islam dalam Perspektif Metode Penelitian Sejarah","type":"article-journal","volume":"13"},"suppress-author":1,"uris":["http://www.mendeley.com/documents/?uuid=2e6b335a-9951-4ce4-9e2a-1d991922e11e"]}],"mendeley":{"formattedCitation":"(2022)","plainTextFormattedCitation":"(2022)","previouslyFormattedCitation":"(2022)"},"properties":{"noteIndex":0},"schema":"https://github.com/citation-style-language/schema/raw/master/csl-citation.json"}</w:instrText>
      </w:r>
      <w:r w:rsidR="001C2A5B">
        <w:rPr>
          <w:rFonts w:ascii="Book Antiqua" w:hAnsi="Book Antiqua" w:cs="Times New Roman"/>
          <w:sz w:val="24"/>
          <w:szCs w:val="24"/>
        </w:rPr>
        <w:fldChar w:fldCharType="separate"/>
      </w:r>
      <w:r w:rsidR="001C2A5B" w:rsidRPr="001C2A5B">
        <w:rPr>
          <w:rFonts w:ascii="Book Antiqua" w:hAnsi="Book Antiqua" w:cs="Times New Roman"/>
          <w:noProof/>
          <w:sz w:val="24"/>
          <w:szCs w:val="24"/>
        </w:rPr>
        <w:t>(2022)</w:t>
      </w:r>
      <w:r w:rsidR="001C2A5B">
        <w:rPr>
          <w:rFonts w:ascii="Book Antiqua" w:hAnsi="Book Antiqua" w:cs="Times New Roman"/>
          <w:sz w:val="24"/>
          <w:szCs w:val="24"/>
        </w:rPr>
        <w:fldChar w:fldCharType="end"/>
      </w:r>
      <w:r w:rsidRPr="00FF2E8E">
        <w:rPr>
          <w:rFonts w:ascii="Book Antiqua" w:hAnsi="Book Antiqua" w:cs="Times New Roman"/>
          <w:sz w:val="24"/>
          <w:szCs w:val="24"/>
        </w:rPr>
        <w:t>The historical method is defined as "a systematic set of principles and rules intended to assist in the collection of historical sources."</w:t>
      </w:r>
      <w:r w:rsidRPr="00511168">
        <w:rPr>
          <w:rFonts w:ascii="Book Antiqua" w:hAnsi="Book Antiqua"/>
          <w:sz w:val="24"/>
          <w:szCs w:val="24"/>
        </w:rPr>
        <w:t>, critically assess it, and present a synthesis (usually in written form) of the results achieved”. Historical research has four stages of the research process, namely heuristic, criticism, interpretation and historiography.</w:t>
      </w:r>
    </w:p>
    <w:p w14:paraId="42F7EF87" w14:textId="77777777" w:rsidR="00752718" w:rsidRPr="00511168" w:rsidRDefault="00752718" w:rsidP="00511168">
      <w:pPr>
        <w:pStyle w:val="ListParagraph"/>
        <w:numPr>
          <w:ilvl w:val="0"/>
          <w:numId w:val="3"/>
        </w:numPr>
        <w:spacing w:after="0" w:line="240" w:lineRule="auto"/>
        <w:ind w:left="360"/>
        <w:jc w:val="both"/>
        <w:rPr>
          <w:rFonts w:ascii="Book Antiqua" w:hAnsi="Book Antiqua" w:cs="Times New Roman"/>
          <w:sz w:val="24"/>
          <w:szCs w:val="24"/>
        </w:rPr>
      </w:pPr>
      <w:r w:rsidRPr="00511168">
        <w:rPr>
          <w:rFonts w:ascii="Book Antiqua" w:hAnsi="Book Antiqua"/>
          <w:sz w:val="24"/>
          <w:szCs w:val="24"/>
        </w:rPr>
        <w:t>Heuristics Heuristics or what can also be called the initial step as observation is the main method used.</w:t>
      </w:r>
      <w:r w:rsidRPr="00511168">
        <w:rPr>
          <w:rFonts w:ascii="Book Antiqua" w:hAnsi="Book Antiqua" w:cs="Times New Roman"/>
          <w:sz w:val="24"/>
          <w:szCs w:val="24"/>
        </w:rPr>
        <w:t>in research, and is a tool to collect some power to be done by collecting sources and data, there are sources of books or sources in the form of journals related to the writing. In this stage, the first thing the researcher did was collect as many relevant sources as possible, both primary and secondary sources related to the effects of the closing of advertisements on TVRI for the marketing of Toyota Kijang in the 1977-1996 period.</w:t>
      </w:r>
    </w:p>
    <w:p w14:paraId="3CACD72C" w14:textId="77777777" w:rsidR="00752718" w:rsidRPr="00511168" w:rsidRDefault="00752718" w:rsidP="00511168">
      <w:pPr>
        <w:pStyle w:val="ListParagraph"/>
        <w:numPr>
          <w:ilvl w:val="0"/>
          <w:numId w:val="3"/>
        </w:numPr>
        <w:spacing w:after="0" w:line="240" w:lineRule="auto"/>
        <w:ind w:left="360"/>
        <w:jc w:val="both"/>
        <w:rPr>
          <w:rFonts w:ascii="Book Antiqua" w:hAnsi="Book Antiqua" w:cs="Times New Roman"/>
          <w:sz w:val="24"/>
          <w:szCs w:val="24"/>
        </w:rPr>
      </w:pPr>
      <w:r w:rsidRPr="00511168">
        <w:rPr>
          <w:rFonts w:ascii="Book Antiqua" w:hAnsi="Book Antiqua" w:cs="Times New Roman"/>
          <w:sz w:val="24"/>
          <w:szCs w:val="24"/>
        </w:rPr>
        <w:t>Criticism: The process of testing a source for credibility and authenticity. The criticism used by researchers is internal criticism, as they examine the source's content. After conducting the critical process, both primary and secondary sources are considered factual or true. For this activity, researchers selected several online newspaper articles, theses, dissertations, and journals as sources.</w:t>
      </w:r>
    </w:p>
    <w:p w14:paraId="4DC7979D" w14:textId="77777777" w:rsidR="00752718" w:rsidRPr="00511168" w:rsidRDefault="00752718" w:rsidP="00511168">
      <w:pPr>
        <w:pStyle w:val="ListParagraph"/>
        <w:numPr>
          <w:ilvl w:val="0"/>
          <w:numId w:val="3"/>
        </w:numPr>
        <w:spacing w:after="0" w:line="240" w:lineRule="auto"/>
        <w:ind w:left="360"/>
        <w:jc w:val="both"/>
        <w:rPr>
          <w:rFonts w:ascii="Book Antiqua" w:hAnsi="Book Antiqua" w:cs="Times New Roman"/>
          <w:sz w:val="24"/>
          <w:szCs w:val="24"/>
        </w:rPr>
      </w:pPr>
      <w:r w:rsidRPr="00511168">
        <w:rPr>
          <w:rFonts w:ascii="Book Antiqua" w:hAnsi="Book Antiqua" w:cs="Times New Roman"/>
          <w:sz w:val="24"/>
          <w:szCs w:val="24"/>
        </w:rPr>
        <w:t>Interpretation: At this stage, historical facts are interpreted, analyzed, and connected chronologically to create a systematic flow. In this stage, historians seek connections between the various facts they have discovered and then interpret them. Therefore, the author arranges events chronologically, starting with Soeharto's propaganda campaign for TVRI, which prohibited advertising, until advertising was allowed to air again on TVRI.</w:t>
      </w:r>
    </w:p>
    <w:p w14:paraId="7D1039B3" w14:textId="77777777" w:rsidR="00752718" w:rsidRPr="00511168" w:rsidRDefault="00752718" w:rsidP="00511168">
      <w:pPr>
        <w:pStyle w:val="ListParagraph"/>
        <w:numPr>
          <w:ilvl w:val="0"/>
          <w:numId w:val="3"/>
        </w:numPr>
        <w:spacing w:after="0" w:line="240" w:lineRule="auto"/>
        <w:ind w:left="360"/>
        <w:jc w:val="both"/>
        <w:rPr>
          <w:rFonts w:ascii="Book Antiqua" w:hAnsi="Book Antiqua" w:cs="Times New Roman"/>
          <w:sz w:val="24"/>
          <w:szCs w:val="24"/>
        </w:rPr>
      </w:pPr>
      <w:r w:rsidRPr="00511168">
        <w:rPr>
          <w:rFonts w:ascii="Book Antiqua" w:hAnsi="Book Antiqua" w:cs="Times New Roman"/>
          <w:sz w:val="24"/>
          <w:szCs w:val="24"/>
        </w:rPr>
        <w:t>Historiography In this case, the author presents a report on the results of historical research after going through the stages listed above in the form of a historical work (historiography).</w:t>
      </w:r>
    </w:p>
    <w:p w14:paraId="728275CB" w14:textId="77777777" w:rsidR="00752718" w:rsidRPr="00FF2E8E" w:rsidRDefault="00752718" w:rsidP="00511168">
      <w:pPr>
        <w:spacing w:after="0" w:line="240" w:lineRule="auto"/>
        <w:ind w:firstLine="360"/>
        <w:jc w:val="both"/>
        <w:rPr>
          <w:rFonts w:ascii="Book Antiqua" w:eastAsia="Times New Roman" w:hAnsi="Book Antiqua" w:cs="Times New Roman"/>
          <w:sz w:val="24"/>
          <w:szCs w:val="24"/>
        </w:rPr>
      </w:pPr>
      <w:r w:rsidRPr="00FF2E8E">
        <w:rPr>
          <w:rFonts w:ascii="Book Antiqua" w:hAnsi="Book Antiqua" w:cs="Times New Roman"/>
          <w:sz w:val="24"/>
          <w:szCs w:val="24"/>
          <w:shd w:val="clear" w:color="auto" w:fill="FFFFFF"/>
        </w:rPr>
        <w:t xml:space="preserve">Secondary historical sources are works that discuss the past. Secondary sources interpret or analyze historical events or phenomena. Secondary sources are usually newly written books describing the past. Secondary sources are produced some time after an event occurred. They are often written by historians or trained scholars familiar with the time period and civilization in question. History books typically discuss a person, event, or other historical topic. Unlike primary sources, secondary sources do not provide direct evidence. Secondary sources provide information that has been analyzed or interpreted in some way. Secondary sources often analyze information gathered from multiple primary sources. Therefore, good secondary sources use primary sources as </w:t>
      </w:r>
      <w:proofErr w:type="gramStart"/>
      <w:r w:rsidRPr="00FF2E8E">
        <w:rPr>
          <w:rFonts w:ascii="Book Antiqua" w:hAnsi="Book Antiqua" w:cs="Times New Roman"/>
          <w:sz w:val="24"/>
          <w:szCs w:val="24"/>
          <w:shd w:val="clear" w:color="auto" w:fill="FFFFFF"/>
        </w:rPr>
        <w:t>evidence.</w:t>
      </w:r>
      <w:r w:rsidRPr="00FF2E8E">
        <w:rPr>
          <w:rFonts w:ascii="Book Antiqua" w:hAnsi="Book Antiqua" w:cs="Times New Roman"/>
          <w:sz w:val="24"/>
          <w:szCs w:val="24"/>
        </w:rPr>
        <w:t>The</w:t>
      </w:r>
      <w:proofErr w:type="gramEnd"/>
      <w:r w:rsidRPr="00FF2E8E">
        <w:rPr>
          <w:rFonts w:ascii="Book Antiqua" w:hAnsi="Book Antiqua" w:cs="Times New Roman"/>
          <w:sz w:val="24"/>
          <w:szCs w:val="24"/>
        </w:rPr>
        <w:t xml:space="preserve"> primary sources that the author will use include: Government policy in the "Multipurpose Commercial Motor Vehicle" (KNBS) Program. and</w:t>
      </w:r>
      <w:r w:rsidRPr="00FF2E8E">
        <w:rPr>
          <w:rFonts w:ascii="Book Antiqua" w:eastAsia="Times New Roman" w:hAnsi="Book Antiqua" w:cs="Times New Roman"/>
          <w:sz w:val="24"/>
          <w:szCs w:val="24"/>
        </w:rPr>
        <w:t>government policy regarding the prohibition of advertising, number 30/1981. Meanwhile, the author will take secondary data from books and other scientific writings related to the topic being researched.</w:t>
      </w:r>
    </w:p>
    <w:p w14:paraId="11EDF0FF" w14:textId="77777777" w:rsidR="00752718" w:rsidRPr="00FF2E8E" w:rsidRDefault="00752718" w:rsidP="0016688A">
      <w:pPr>
        <w:tabs>
          <w:tab w:val="left" w:pos="3109"/>
        </w:tabs>
        <w:spacing w:after="0" w:line="240" w:lineRule="auto"/>
        <w:jc w:val="both"/>
        <w:rPr>
          <w:rFonts w:ascii="Book Antiqua" w:eastAsia="Times New Roman" w:hAnsi="Book Antiqua" w:cs="Times New Roman"/>
          <w:b/>
          <w:sz w:val="24"/>
          <w:szCs w:val="24"/>
        </w:rPr>
      </w:pPr>
    </w:p>
    <w:p w14:paraId="7043310A" w14:textId="77777777" w:rsidR="00752718" w:rsidRPr="00FF2E8E" w:rsidRDefault="0043399F" w:rsidP="0016688A">
      <w:pPr>
        <w:tabs>
          <w:tab w:val="left" w:pos="3109"/>
        </w:tabs>
        <w:spacing w:after="0" w:line="240" w:lineRule="auto"/>
        <w:jc w:val="both"/>
        <w:rPr>
          <w:rFonts w:ascii="Book Antiqua" w:eastAsia="Times New Roman" w:hAnsi="Book Antiqua" w:cs="Times New Roman"/>
          <w:b/>
          <w:sz w:val="24"/>
          <w:szCs w:val="24"/>
        </w:rPr>
      </w:pPr>
      <w:r>
        <w:rPr>
          <w:rFonts w:ascii="Book Antiqua" w:eastAsia="Times New Roman" w:hAnsi="Book Antiqua" w:cs="Times New Roman"/>
          <w:b/>
          <w:sz w:val="24"/>
          <w:szCs w:val="24"/>
        </w:rPr>
        <w:t>RESULTS</w:t>
      </w:r>
      <w:r w:rsidR="00752718" w:rsidRPr="00FF2E8E">
        <w:rPr>
          <w:rFonts w:ascii="Book Antiqua" w:eastAsia="Times New Roman" w:hAnsi="Book Antiqua" w:cs="Times New Roman"/>
          <w:b/>
          <w:sz w:val="24"/>
          <w:szCs w:val="24"/>
        </w:rPr>
        <w:tab/>
      </w:r>
    </w:p>
    <w:p w14:paraId="5CBD34A2" w14:textId="77777777" w:rsidR="00752718" w:rsidRPr="00FF2E8E" w:rsidRDefault="00752718" w:rsidP="0016688A">
      <w:pPr>
        <w:spacing w:after="0" w:line="240" w:lineRule="auto"/>
        <w:jc w:val="both"/>
        <w:outlineLvl w:val="2"/>
        <w:rPr>
          <w:rFonts w:ascii="Book Antiqua" w:eastAsia="Times New Roman" w:hAnsi="Book Antiqua" w:cs="Times New Roman"/>
          <w:b/>
          <w:bCs/>
          <w:sz w:val="24"/>
          <w:szCs w:val="24"/>
        </w:rPr>
      </w:pPr>
      <w:r w:rsidRPr="00FF2E8E">
        <w:rPr>
          <w:rFonts w:ascii="Book Antiqua" w:eastAsia="Times New Roman" w:hAnsi="Book Antiqua" w:cs="Times New Roman"/>
          <w:b/>
          <w:bCs/>
          <w:sz w:val="24"/>
          <w:szCs w:val="24"/>
        </w:rPr>
        <w:t>7P Marketing Strategy for Toyota Kijang Products in Indonesia</w:t>
      </w:r>
    </w:p>
    <w:p w14:paraId="6199092F" w14:textId="77777777" w:rsidR="00752718" w:rsidRPr="00FF2E8E" w:rsidRDefault="00752718" w:rsidP="0043399F">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The Toyota Kijang is an automotive brand with a long history and significant success in the Indonesian car market. This success is inseparable from the implementation of effective and adaptive marketing strategies to market dynamics. One approach used is the 7Ps marketing strategy (Product, Price, Promotion, Place, Process, People, and Physical Evidence). This approach allows Toyota to adapt its products and services to the evolving needs and expectations of Indonesian consumers.</w:t>
      </w:r>
    </w:p>
    <w:p w14:paraId="47024437" w14:textId="77777777" w:rsidR="00752718" w:rsidRPr="00FF2E8E" w:rsidRDefault="00752718" w:rsidP="0043399F">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First, from a product perspective, the Toyota Kijang has undergone a significant transformation since its introduction in 1977. Originally designed as a commercial vehicle, the Kijang evolved into a multi-purpose vehicle (MPV) targeting the family segment. Toyota consistently innovates in design, technology, and safety features. Its focus on product quality and reliability has earned the Kijang widespread acceptance and maintained its position as a reliable family vehicle.</w:t>
      </w:r>
    </w:p>
    <w:p w14:paraId="3CFFBA49" w14:textId="77777777" w:rsidR="00752718" w:rsidRPr="00FF2E8E" w:rsidRDefault="00752718" w:rsidP="0043399F">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Second, in terms of pricing, Toyota implements a pricing strategy that takes into account various important factors, such as production costs, market competition, and consumer purchasing power. This approach allows the Toyota Kijang to position itself as an affordable yet high-quality vehicle. This competitive pricing strategy is key to expanding market reach, particularly in the lower-middle segment, which constitutes the majority of automotive consumers in Indonesia.</w:t>
      </w:r>
    </w:p>
    <w:p w14:paraId="399A6739" w14:textId="77777777" w:rsidR="00752718" w:rsidRPr="00FF2E8E" w:rsidRDefault="00752718" w:rsidP="00535DB5">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Third, in terms of promotion, Toyota utilizes various communication channels to introduce and strengthen the Kijang's image. In its early days, promotions were conducted through traditional media such as television, radio, and print media. Toyota also utilizes an emotional branding approach by emphasizing the values of family, togetherness, and nostalgia in its advertisements. The use of public figures such as Ray Sahetapy and Dewi Yull in the third-generation Kijang advertisements creates an emotional closeness with the audience. As time goes by, Toyota also adapts digital media as a promotional channel through social media and other online platforms, in order to reach a new generation of consumers.</w:t>
      </w:r>
    </w:p>
    <w:p w14:paraId="7376D457" w14:textId="77777777" w:rsidR="00752718" w:rsidRPr="00FF2E8E" w:rsidRDefault="00752718" w:rsidP="00535DB5">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Fourth, in terms of distribution (Place), Toyota has built a broad and even distribution network throughout Indonesia. Authorized Toyota dealers are available in major cities and remote areas, supported by an efficient logistics and inventory management system. Furthermore, the presence of domestic production plants allows Toyota to accelerate distribution processes, reduce logistics costs, and increase overall product competitiveness.</w:t>
      </w:r>
    </w:p>
    <w:p w14:paraId="30BCF741" w14:textId="77777777" w:rsidR="00752718" w:rsidRPr="00FF2E8E" w:rsidRDefault="00752718" w:rsidP="00535DB5">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Fifth, from a process perspective, Toyota implements an integrated, high-standard production and service system. This process encompasses all stages, from product planning and production to distribution and after-sales service. Toyota also provides accessible and efficient after-sales services, including regular servicing, spare parts provision, and warranties, all aimed at increasing customer satisfaction and loyalty.</w:t>
      </w:r>
    </w:p>
    <w:p w14:paraId="5C6656F2" w14:textId="77777777" w:rsidR="00752718" w:rsidRPr="00FF2E8E" w:rsidRDefault="00752718" w:rsidP="00535DB5">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Sixth, in terms of human resources (People), Toyota places service quality as a top priority. All employees, especially those on the front lines such as dealership staff and workshop technicians, are provided with special training to provide friendly, professional, and informative service. Competent human resources play a crucial role in shaping positive consumer perceptions of the Toyota brand.</w:t>
      </w:r>
    </w:p>
    <w:p w14:paraId="5D22760D" w14:textId="77777777" w:rsidR="00752718" w:rsidRPr="00FF2E8E" w:rsidRDefault="00752718" w:rsidP="00535DB5">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Seventh, in terms of physical evidence, Toyota ensures that consumers can directly see and experience product quality through the presence of representative showrooms and authorized dealers. Furthermore, Toyota provides various physical promotional materials such as brochures, product catalogs, and demonstration videos that reinforce the professional and trustworthy image of the products offered. The strategic placement of showrooms and the use of strong visual elements help build consumer trust in the Toyota brand.</w:t>
      </w:r>
    </w:p>
    <w:p w14:paraId="0E17BF65" w14:textId="77777777" w:rsidR="00752718" w:rsidRPr="00FF2E8E" w:rsidRDefault="00752718" w:rsidP="00535DB5">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Overall, the 7P marketing strategy implemented by Toyota Kijang demonstrates a strong synergy between understanding the local market and adaptability to changes in the business environment. Toyota Kijang's success in Indonesia is determined not only by product quality alone, but also by a comprehensive, well-planned, and customer-satisfaction-oriented marketing strategy. The implementation of this strategy serves as a concrete example of how an integrated marketing approach can create long-term competitive advantage in the automotive industry.</w:t>
      </w:r>
    </w:p>
    <w:p w14:paraId="40164408" w14:textId="77777777" w:rsidR="00752718" w:rsidRPr="00FF2E8E" w:rsidRDefault="00752718" w:rsidP="0016688A">
      <w:pPr>
        <w:spacing w:after="0" w:line="240" w:lineRule="auto"/>
        <w:jc w:val="both"/>
        <w:rPr>
          <w:rFonts w:ascii="Book Antiqua" w:eastAsia="Times New Roman" w:hAnsi="Book Antiqua" w:cs="Times New Roman"/>
          <w:sz w:val="24"/>
          <w:szCs w:val="24"/>
        </w:rPr>
      </w:pPr>
      <w:r w:rsidRPr="00FF2E8E">
        <w:rPr>
          <w:rFonts w:ascii="Book Antiqua" w:eastAsia="Times New Roman" w:hAnsi="Book Antiqua" w:cs="Times New Roman"/>
          <w:b/>
          <w:bCs/>
          <w:sz w:val="24"/>
          <w:szCs w:val="24"/>
        </w:rPr>
        <w:t>TVRI's Advertising and Role in Toyota Kijang Marketing Strategy (1977–1996)</w:t>
      </w:r>
    </w:p>
    <w:p w14:paraId="313CC58B" w14:textId="77777777" w:rsidR="00752718" w:rsidRPr="00FF2E8E" w:rsidRDefault="00752718" w:rsidP="00A76D2B">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The development of the advertising industry in Indonesia, particularly through television, is inextricably linked to the role of Televisi Republik Indonesia (TVRI), the sole national television channel during the New Order era. TVRI began broadcasting in 1962 and became the primary medium for disseminating information, entertainment, and commercial advertising. The arrival of advertising companies such as InterVisa in 1963 marked the beginning of the television advertising era in Indonesia, where a number of products, particularly from abroad, began to appear on television screens. From 1963 to the early 1970s, TVRI's advertisements were dominated by imported products, reflecting the high dependence of the national market on foreign goods.</w:t>
      </w:r>
    </w:p>
    <w:p w14:paraId="037328C9" w14:textId="77777777" w:rsidR="00752718" w:rsidRPr="00FF2E8E" w:rsidRDefault="00752718" w:rsidP="00A76D2B">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However, the socio-political dynamics of the time also influenced broadcasting policy. After the Malari incident in 1974, the government began to restrict the broadcast of luxury goods advertisements because they were deemed inconsistent with the spirit of equitable development. This culminated in President Soeharto's official ban on all forms of commercial advertising on TVRI on January 5, 1981, effective April 1, 1981. This policy was based on the consideration of making TVRI a national development campaign tool, free from the influence of commercialism that was considered to disrupt the focus of disseminating development information.</w:t>
      </w:r>
    </w:p>
    <w:p w14:paraId="73F05ED7" w14:textId="77777777" w:rsidR="00752718" w:rsidRPr="00FF2E8E" w:rsidRDefault="00752718" w:rsidP="00A76D2B">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This advertising ban policy has undoubtedly had a significant impact on the promotional strategies of private companies, including Toyota. In the context of marketing the Toyota Kijang, advertisements aired prior to the ban, particularly for the first and second generations, explicitly targeted small and medium-sized businesses. These advertisements portrayed the Kijang as a robust, economical commercial vehicle suitable for everyday business needs. This aligns with the government's initial goal through the Multipurpose Commercial Vehicle (KNBS) program, which is to provide affordable and multifunctional local vehicles.</w:t>
      </w:r>
    </w:p>
    <w:p w14:paraId="6773444E" w14:textId="77777777" w:rsidR="00752718" w:rsidRPr="00FF2E8E" w:rsidRDefault="00752718" w:rsidP="00A76D2B">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However, with the third generation of the Toyota Kijang (known as the Kijang Super), a major shift in marketing approach occurred. Along with design changes and market segmentation, Toyota began to position the Kijang not solely as a commercial vehicle, but as a modern and stable family car. The Kijang Super television commercial reflected this shift in strategy. Toyota partnered with two popular public figures at the time, Ray Sahetapy and Dewi Yull, as brand ambassadors, portraying a young couple with two children. In the commercial, the two were portrayed as a harmonious and financially stable family, thus strengthening the Kijang's image as the ideal vehicle for Indonesian families.</w:t>
      </w:r>
    </w:p>
    <w:p w14:paraId="4C105B3F" w14:textId="77777777" w:rsidR="00752718" w:rsidRPr="00FF2E8E" w:rsidRDefault="00752718" w:rsidP="00A76D2B">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The use of emotional narratives and visuals emphasizing family values, economic stability, and life aspirations became a new approach used by Toyota in building the Kijang's image. This strategy expanded consumer reach, not only to business owners but also to the general public, who began to view cars as a symbol of status and family comfort. Although the advertising ban on TVRI was officially implemented in 1981, Toyota continued to capitalize on the momentum before and afterward to maximize other media and build a strong narrative through emotional branding.</w:t>
      </w:r>
    </w:p>
    <w:p w14:paraId="2A8963D8" w14:textId="77777777" w:rsidR="00752718" w:rsidRPr="00FF2E8E" w:rsidRDefault="00752718" w:rsidP="00BB4346">
      <w:pPr>
        <w:spacing w:after="0" w:line="240" w:lineRule="auto"/>
        <w:ind w:firstLine="360"/>
        <w:jc w:val="both"/>
        <w:rPr>
          <w:rFonts w:ascii="Book Antiqua" w:eastAsia="Times New Roman" w:hAnsi="Book Antiqua" w:cs="Times New Roman"/>
          <w:sz w:val="24"/>
          <w:szCs w:val="24"/>
        </w:rPr>
      </w:pPr>
      <w:r w:rsidRPr="00FF2E8E">
        <w:rPr>
          <w:rFonts w:ascii="Book Antiqua" w:eastAsia="Times New Roman" w:hAnsi="Book Antiqua" w:cs="Times New Roman"/>
          <w:sz w:val="24"/>
          <w:szCs w:val="24"/>
        </w:rPr>
        <w:t>Overall, TVRI's role as the sole national television channel before the reform era was significant in influencing how companies, including Toyota, developed communication and promotional strategies. Government policies on media and advertising directly influenced how brands were presented to the public. The Toyota Kijang serves as an example of how a product can adapt to strict media policies while maintaining relevance and emotional closeness with consumers. Thus, the promotional success of the Toyota Kijang from 1977–1996 was driven not only by product quality, but also by a careful and contextual communication strategy, in line with the political situation and media culture of the time.</w:t>
      </w:r>
    </w:p>
    <w:p w14:paraId="73C814C8" w14:textId="77777777" w:rsidR="00752718" w:rsidRPr="00FF2E8E" w:rsidRDefault="00752718" w:rsidP="0016688A">
      <w:pPr>
        <w:pStyle w:val="Heading2"/>
        <w:spacing w:before="0" w:beforeAutospacing="0" w:after="0" w:afterAutospacing="0"/>
        <w:rPr>
          <w:rFonts w:ascii="Book Antiqua" w:hAnsi="Book Antiqua"/>
          <w:sz w:val="24"/>
          <w:szCs w:val="24"/>
        </w:rPr>
      </w:pPr>
      <w:r w:rsidRPr="00FF2E8E">
        <w:rPr>
          <w:rFonts w:ascii="Book Antiqua" w:hAnsi="Book Antiqua"/>
          <w:sz w:val="24"/>
          <w:szCs w:val="24"/>
        </w:rPr>
        <w:t>Analysis of the Success Factors of the Toyota Kijang (1977–1996)</w:t>
      </w:r>
    </w:p>
    <w:tbl>
      <w:tblPr>
        <w:tblW w:w="5000" w:type="pct"/>
        <w:tblLook w:val="04A0" w:firstRow="1" w:lastRow="0" w:firstColumn="1" w:lastColumn="0" w:noHBand="0" w:noVBand="1"/>
      </w:tblPr>
      <w:tblGrid>
        <w:gridCol w:w="3033"/>
        <w:gridCol w:w="6317"/>
      </w:tblGrid>
      <w:tr w:rsidR="002C191A" w:rsidRPr="002C191A" w14:paraId="20A1F85E" w14:textId="77777777" w:rsidTr="002C191A">
        <w:trPr>
          <w:trHeight w:val="20"/>
        </w:trPr>
        <w:tc>
          <w:tcPr>
            <w:tcW w:w="16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D22927" w14:textId="77777777" w:rsidR="002C191A" w:rsidRPr="002C191A" w:rsidRDefault="002C191A" w:rsidP="002C191A">
            <w:pPr>
              <w:spacing w:after="0" w:line="240" w:lineRule="auto"/>
              <w:jc w:val="center"/>
              <w:rPr>
                <w:rFonts w:ascii="Book Antiqua" w:eastAsia="Times New Roman" w:hAnsi="Book Antiqua" w:cs="Calibri"/>
                <w:color w:val="000000"/>
                <w:sz w:val="24"/>
                <w:szCs w:val="24"/>
                <w:lang w:eastAsia="en-US"/>
              </w:rPr>
            </w:pPr>
            <w:r w:rsidRPr="002C191A">
              <w:rPr>
                <w:rFonts w:ascii="Book Antiqua" w:eastAsia="Times New Roman" w:hAnsi="Book Antiqua" w:cs="Times New Roman"/>
                <w:color w:val="000000"/>
                <w:sz w:val="24"/>
                <w:szCs w:val="24"/>
                <w:lang w:eastAsia="en-US"/>
              </w:rPr>
              <w:t>Factor</w:t>
            </w:r>
          </w:p>
        </w:tc>
        <w:tc>
          <w:tcPr>
            <w:tcW w:w="3378" w:type="pct"/>
            <w:tcBorders>
              <w:top w:val="single" w:sz="4" w:space="0" w:color="auto"/>
              <w:left w:val="nil"/>
              <w:bottom w:val="single" w:sz="4" w:space="0" w:color="auto"/>
              <w:right w:val="single" w:sz="4" w:space="0" w:color="auto"/>
            </w:tcBorders>
            <w:shd w:val="clear" w:color="auto" w:fill="auto"/>
            <w:vAlign w:val="center"/>
            <w:hideMark/>
          </w:tcPr>
          <w:p w14:paraId="6281979B" w14:textId="77777777" w:rsidR="002C191A" w:rsidRPr="002C191A" w:rsidRDefault="002C191A" w:rsidP="002C191A">
            <w:pPr>
              <w:spacing w:after="0" w:line="240" w:lineRule="auto"/>
              <w:jc w:val="center"/>
              <w:rPr>
                <w:rFonts w:ascii="Book Antiqua" w:eastAsia="Times New Roman" w:hAnsi="Book Antiqua" w:cs="Calibri"/>
                <w:color w:val="000000"/>
                <w:sz w:val="24"/>
                <w:szCs w:val="24"/>
                <w:lang w:eastAsia="en-US"/>
              </w:rPr>
            </w:pPr>
            <w:r w:rsidRPr="002C191A">
              <w:rPr>
                <w:rFonts w:ascii="Book Antiqua" w:eastAsia="Times New Roman" w:hAnsi="Book Antiqua" w:cs="Times New Roman"/>
                <w:color w:val="000000"/>
                <w:sz w:val="24"/>
                <w:szCs w:val="24"/>
                <w:lang w:eastAsia="en-US"/>
              </w:rPr>
              <w:t>Role</w:t>
            </w:r>
          </w:p>
        </w:tc>
      </w:tr>
      <w:tr w:rsidR="002C191A" w:rsidRPr="002C191A" w14:paraId="76292048" w14:textId="77777777" w:rsidTr="002C191A">
        <w:trPr>
          <w:trHeight w:val="20"/>
        </w:trPr>
        <w:tc>
          <w:tcPr>
            <w:tcW w:w="1622" w:type="pct"/>
            <w:tcBorders>
              <w:top w:val="nil"/>
              <w:left w:val="single" w:sz="4" w:space="0" w:color="auto"/>
              <w:bottom w:val="single" w:sz="4" w:space="0" w:color="auto"/>
              <w:right w:val="single" w:sz="4" w:space="0" w:color="auto"/>
            </w:tcBorders>
            <w:shd w:val="clear" w:color="auto" w:fill="auto"/>
            <w:vAlign w:val="center"/>
            <w:hideMark/>
          </w:tcPr>
          <w:p w14:paraId="00C1E693" w14:textId="77777777" w:rsidR="002C191A" w:rsidRPr="002C191A" w:rsidRDefault="002C191A" w:rsidP="002C191A">
            <w:pPr>
              <w:spacing w:after="0" w:line="240" w:lineRule="auto"/>
              <w:ind w:firstLineChars="200" w:firstLine="480"/>
              <w:rPr>
                <w:rFonts w:ascii="Book Antiqua" w:eastAsia="Times New Roman" w:hAnsi="Book Antiqua" w:cs="Calibri"/>
                <w:color w:val="000000"/>
                <w:sz w:val="24"/>
                <w:szCs w:val="24"/>
                <w:lang w:eastAsia="en-US"/>
              </w:rPr>
            </w:pPr>
            <w:r w:rsidRPr="002C191A">
              <w:rPr>
                <w:rFonts w:ascii="Book Antiqua" w:eastAsia="Symbol" w:hAnsi="Book Antiqua" w:cs="Symbol"/>
                <w:color w:val="000000"/>
                <w:sz w:val="24"/>
                <w:szCs w:val="24"/>
                <w:lang w:eastAsia="en-US"/>
              </w:rPr>
              <w:t>Government policy (KNBS)</w:t>
            </w:r>
          </w:p>
        </w:tc>
        <w:tc>
          <w:tcPr>
            <w:tcW w:w="3378" w:type="pct"/>
            <w:tcBorders>
              <w:top w:val="nil"/>
              <w:left w:val="nil"/>
              <w:bottom w:val="single" w:sz="4" w:space="0" w:color="auto"/>
              <w:right w:val="single" w:sz="4" w:space="0" w:color="auto"/>
            </w:tcBorders>
            <w:shd w:val="clear" w:color="auto" w:fill="auto"/>
            <w:vAlign w:val="center"/>
            <w:hideMark/>
          </w:tcPr>
          <w:p w14:paraId="29B74043" w14:textId="77777777" w:rsidR="002C191A" w:rsidRPr="002C191A" w:rsidRDefault="002C191A" w:rsidP="002C191A">
            <w:pPr>
              <w:spacing w:after="0" w:line="240" w:lineRule="auto"/>
              <w:rPr>
                <w:rFonts w:ascii="Book Antiqua" w:eastAsia="Times New Roman" w:hAnsi="Book Antiqua" w:cs="Calibri"/>
                <w:color w:val="000000"/>
                <w:sz w:val="24"/>
                <w:szCs w:val="24"/>
                <w:lang w:eastAsia="en-US"/>
              </w:rPr>
            </w:pPr>
            <w:r w:rsidRPr="002C191A">
              <w:rPr>
                <w:rFonts w:ascii="Book Antiqua" w:eastAsia="Times New Roman" w:hAnsi="Book Antiqua" w:cs="Times New Roman"/>
                <w:color w:val="000000"/>
                <w:sz w:val="24"/>
                <w:szCs w:val="24"/>
                <w:lang w:eastAsia="en-US"/>
              </w:rPr>
              <w:t>Making way for a cheap and functional national car</w:t>
            </w:r>
          </w:p>
        </w:tc>
      </w:tr>
      <w:tr w:rsidR="002C191A" w:rsidRPr="002C191A" w14:paraId="36E2841C" w14:textId="77777777" w:rsidTr="002C191A">
        <w:trPr>
          <w:trHeight w:val="20"/>
        </w:trPr>
        <w:tc>
          <w:tcPr>
            <w:tcW w:w="1622" w:type="pct"/>
            <w:tcBorders>
              <w:top w:val="nil"/>
              <w:left w:val="single" w:sz="4" w:space="0" w:color="auto"/>
              <w:bottom w:val="single" w:sz="4" w:space="0" w:color="auto"/>
              <w:right w:val="single" w:sz="4" w:space="0" w:color="auto"/>
            </w:tcBorders>
            <w:shd w:val="clear" w:color="auto" w:fill="auto"/>
            <w:vAlign w:val="center"/>
            <w:hideMark/>
          </w:tcPr>
          <w:p w14:paraId="22C85C9C" w14:textId="77777777" w:rsidR="002C191A" w:rsidRPr="002C191A" w:rsidRDefault="002C191A" w:rsidP="002C191A">
            <w:pPr>
              <w:spacing w:after="0" w:line="240" w:lineRule="auto"/>
              <w:ind w:firstLineChars="200" w:firstLine="480"/>
              <w:rPr>
                <w:rFonts w:ascii="Book Antiqua" w:eastAsia="Times New Roman" w:hAnsi="Book Antiqua" w:cs="Calibri"/>
                <w:color w:val="000000"/>
                <w:sz w:val="24"/>
                <w:szCs w:val="24"/>
                <w:lang w:eastAsia="en-US"/>
              </w:rPr>
            </w:pPr>
            <w:r w:rsidRPr="002C191A">
              <w:rPr>
                <w:rFonts w:ascii="Book Antiqua" w:eastAsia="Symbol" w:hAnsi="Book Antiqua" w:cs="Symbol"/>
                <w:color w:val="000000"/>
                <w:sz w:val="24"/>
                <w:szCs w:val="24"/>
                <w:lang w:eastAsia="en-US"/>
              </w:rPr>
              <w:t>Product Transformation</w:t>
            </w:r>
          </w:p>
        </w:tc>
        <w:tc>
          <w:tcPr>
            <w:tcW w:w="3378" w:type="pct"/>
            <w:tcBorders>
              <w:top w:val="nil"/>
              <w:left w:val="nil"/>
              <w:bottom w:val="single" w:sz="4" w:space="0" w:color="auto"/>
              <w:right w:val="single" w:sz="4" w:space="0" w:color="auto"/>
            </w:tcBorders>
            <w:shd w:val="clear" w:color="auto" w:fill="auto"/>
            <w:vAlign w:val="center"/>
            <w:hideMark/>
          </w:tcPr>
          <w:p w14:paraId="7B95A4DC" w14:textId="77777777" w:rsidR="002C191A" w:rsidRPr="002C191A" w:rsidRDefault="002C191A" w:rsidP="002C191A">
            <w:pPr>
              <w:spacing w:after="0" w:line="240" w:lineRule="auto"/>
              <w:rPr>
                <w:rFonts w:ascii="Book Antiqua" w:eastAsia="Times New Roman" w:hAnsi="Book Antiqua" w:cs="Calibri"/>
                <w:color w:val="000000"/>
                <w:sz w:val="24"/>
                <w:szCs w:val="24"/>
                <w:lang w:eastAsia="en-US"/>
              </w:rPr>
            </w:pPr>
            <w:r w:rsidRPr="002C191A">
              <w:rPr>
                <w:rFonts w:ascii="Book Antiqua" w:eastAsia="Times New Roman" w:hAnsi="Book Antiqua" w:cs="Times New Roman"/>
                <w:color w:val="000000"/>
                <w:sz w:val="24"/>
                <w:szCs w:val="24"/>
                <w:lang w:eastAsia="en-US"/>
              </w:rPr>
              <w:t>From commercial vehicle to family MPV</w:t>
            </w:r>
          </w:p>
        </w:tc>
      </w:tr>
      <w:tr w:rsidR="002C191A" w:rsidRPr="002C191A" w14:paraId="038D7288" w14:textId="77777777" w:rsidTr="002C191A">
        <w:trPr>
          <w:trHeight w:val="20"/>
        </w:trPr>
        <w:tc>
          <w:tcPr>
            <w:tcW w:w="1622" w:type="pct"/>
            <w:tcBorders>
              <w:top w:val="nil"/>
              <w:left w:val="single" w:sz="4" w:space="0" w:color="auto"/>
              <w:bottom w:val="single" w:sz="4" w:space="0" w:color="auto"/>
              <w:right w:val="single" w:sz="4" w:space="0" w:color="auto"/>
            </w:tcBorders>
            <w:shd w:val="clear" w:color="auto" w:fill="auto"/>
            <w:vAlign w:val="center"/>
            <w:hideMark/>
          </w:tcPr>
          <w:p w14:paraId="2AF2E723" w14:textId="77777777" w:rsidR="002C191A" w:rsidRPr="002C191A" w:rsidRDefault="002C191A" w:rsidP="002C191A">
            <w:pPr>
              <w:spacing w:after="0" w:line="240" w:lineRule="auto"/>
              <w:ind w:firstLineChars="200" w:firstLine="280"/>
              <w:rPr>
                <w:rFonts w:ascii="Symbol" w:eastAsia="Times New Roman" w:hAnsi="Symbol" w:cs="Calibri"/>
                <w:color w:val="000000"/>
                <w:sz w:val="24"/>
                <w:szCs w:val="24"/>
                <w:lang w:eastAsia="en-US"/>
              </w:rPr>
            </w:pPr>
            <w:r w:rsidRPr="002C191A">
              <w:rPr>
                <w:rFonts w:ascii="Times New Roman" w:eastAsia="Symbol" w:hAnsi="Times New Roman" w:cs="Times New Roman"/>
                <w:color w:val="000000"/>
                <w:sz w:val="14"/>
                <w:szCs w:val="14"/>
                <w:lang w:eastAsia="en-US"/>
              </w:rPr>
              <w:t xml:space="preserve"> </w:t>
            </w:r>
            <w:r w:rsidRPr="002C191A">
              <w:rPr>
                <w:rFonts w:ascii="Book Antiqua" w:eastAsia="Symbol" w:hAnsi="Book Antiqua" w:cs="Symbol"/>
                <w:color w:val="000000"/>
                <w:sz w:val="24"/>
                <w:szCs w:val="24"/>
                <w:lang w:eastAsia="en-US"/>
              </w:rPr>
              <w:t>Technological Innovation</w:t>
            </w:r>
          </w:p>
        </w:tc>
        <w:tc>
          <w:tcPr>
            <w:tcW w:w="3378" w:type="pct"/>
            <w:tcBorders>
              <w:top w:val="nil"/>
              <w:left w:val="nil"/>
              <w:bottom w:val="single" w:sz="4" w:space="0" w:color="auto"/>
              <w:right w:val="single" w:sz="4" w:space="0" w:color="auto"/>
            </w:tcBorders>
            <w:shd w:val="clear" w:color="auto" w:fill="auto"/>
            <w:vAlign w:val="center"/>
            <w:hideMark/>
          </w:tcPr>
          <w:p w14:paraId="4399EFB3" w14:textId="77777777" w:rsidR="002C191A" w:rsidRPr="002C191A" w:rsidRDefault="002C191A" w:rsidP="002C191A">
            <w:pPr>
              <w:spacing w:after="0" w:line="240" w:lineRule="auto"/>
              <w:rPr>
                <w:rFonts w:ascii="Book Antiqua" w:eastAsia="Times New Roman" w:hAnsi="Book Antiqua" w:cs="Calibri"/>
                <w:color w:val="000000"/>
                <w:sz w:val="24"/>
                <w:szCs w:val="24"/>
                <w:lang w:eastAsia="en-US"/>
              </w:rPr>
            </w:pPr>
            <w:r w:rsidRPr="002C191A">
              <w:rPr>
                <w:rFonts w:ascii="Book Antiqua" w:eastAsia="Times New Roman" w:hAnsi="Book Antiqua" w:cs="Times New Roman"/>
                <w:color w:val="000000"/>
                <w:sz w:val="24"/>
                <w:szCs w:val="24"/>
                <w:lang w:eastAsia="en-US"/>
              </w:rPr>
              <w:t>Application of full pressed body technology, ergonomic design</w:t>
            </w:r>
          </w:p>
        </w:tc>
      </w:tr>
      <w:tr w:rsidR="002C191A" w:rsidRPr="002C191A" w14:paraId="74C066D7" w14:textId="77777777" w:rsidTr="002C191A">
        <w:trPr>
          <w:trHeight w:val="20"/>
        </w:trPr>
        <w:tc>
          <w:tcPr>
            <w:tcW w:w="1622" w:type="pct"/>
            <w:tcBorders>
              <w:top w:val="nil"/>
              <w:left w:val="single" w:sz="4" w:space="0" w:color="auto"/>
              <w:bottom w:val="single" w:sz="4" w:space="0" w:color="auto"/>
              <w:right w:val="single" w:sz="4" w:space="0" w:color="auto"/>
            </w:tcBorders>
            <w:shd w:val="clear" w:color="auto" w:fill="auto"/>
            <w:vAlign w:val="center"/>
            <w:hideMark/>
          </w:tcPr>
          <w:p w14:paraId="646F9057" w14:textId="77777777" w:rsidR="002C191A" w:rsidRPr="002C191A" w:rsidRDefault="002C191A" w:rsidP="002C191A">
            <w:pPr>
              <w:spacing w:after="0" w:line="240" w:lineRule="auto"/>
              <w:ind w:firstLineChars="200" w:firstLine="480"/>
              <w:rPr>
                <w:rFonts w:ascii="Book Antiqua" w:eastAsia="Times New Roman" w:hAnsi="Book Antiqua" w:cs="Calibri"/>
                <w:color w:val="000000"/>
                <w:sz w:val="24"/>
                <w:szCs w:val="24"/>
                <w:lang w:eastAsia="en-US"/>
              </w:rPr>
            </w:pPr>
            <w:r w:rsidRPr="002C191A">
              <w:rPr>
                <w:rFonts w:ascii="Book Antiqua" w:eastAsia="Symbol" w:hAnsi="Book Antiqua" w:cs="Symbol"/>
                <w:color w:val="000000"/>
                <w:sz w:val="24"/>
                <w:szCs w:val="24"/>
                <w:lang w:eastAsia="en-US"/>
              </w:rPr>
              <w:t>Emotional Promotion Strategy</w:t>
            </w:r>
          </w:p>
        </w:tc>
        <w:tc>
          <w:tcPr>
            <w:tcW w:w="3378" w:type="pct"/>
            <w:tcBorders>
              <w:top w:val="nil"/>
              <w:left w:val="nil"/>
              <w:bottom w:val="single" w:sz="4" w:space="0" w:color="auto"/>
              <w:right w:val="single" w:sz="4" w:space="0" w:color="auto"/>
            </w:tcBorders>
            <w:shd w:val="clear" w:color="auto" w:fill="auto"/>
            <w:vAlign w:val="center"/>
            <w:hideMark/>
          </w:tcPr>
          <w:p w14:paraId="270137A4" w14:textId="77777777" w:rsidR="002C191A" w:rsidRPr="002C191A" w:rsidRDefault="002C191A" w:rsidP="002C191A">
            <w:pPr>
              <w:spacing w:after="0" w:line="240" w:lineRule="auto"/>
              <w:rPr>
                <w:rFonts w:ascii="Book Antiqua" w:eastAsia="Times New Roman" w:hAnsi="Book Antiqua" w:cs="Calibri"/>
                <w:color w:val="000000"/>
                <w:sz w:val="24"/>
                <w:szCs w:val="24"/>
                <w:lang w:eastAsia="en-US"/>
              </w:rPr>
            </w:pPr>
            <w:r w:rsidRPr="002C191A">
              <w:rPr>
                <w:rFonts w:ascii="Book Antiqua" w:eastAsia="Times New Roman" w:hAnsi="Book Antiqua" w:cs="Times New Roman"/>
                <w:color w:val="000000"/>
                <w:sz w:val="24"/>
                <w:szCs w:val="24"/>
                <w:lang w:eastAsia="en-US"/>
              </w:rPr>
              <w:t>The ad touches on family values and well-being</w:t>
            </w:r>
          </w:p>
        </w:tc>
      </w:tr>
      <w:tr w:rsidR="002C191A" w:rsidRPr="002C191A" w14:paraId="3E74294E" w14:textId="77777777" w:rsidTr="002C191A">
        <w:trPr>
          <w:trHeight w:val="20"/>
        </w:trPr>
        <w:tc>
          <w:tcPr>
            <w:tcW w:w="1622" w:type="pct"/>
            <w:tcBorders>
              <w:top w:val="nil"/>
              <w:left w:val="single" w:sz="4" w:space="0" w:color="auto"/>
              <w:bottom w:val="single" w:sz="4" w:space="0" w:color="auto"/>
              <w:right w:val="single" w:sz="4" w:space="0" w:color="auto"/>
            </w:tcBorders>
            <w:shd w:val="clear" w:color="auto" w:fill="auto"/>
            <w:vAlign w:val="center"/>
            <w:hideMark/>
          </w:tcPr>
          <w:p w14:paraId="14364543" w14:textId="77777777" w:rsidR="002C191A" w:rsidRPr="002C191A" w:rsidRDefault="002C191A" w:rsidP="002C191A">
            <w:pPr>
              <w:spacing w:after="0" w:line="240" w:lineRule="auto"/>
              <w:ind w:firstLineChars="200" w:firstLine="480"/>
              <w:rPr>
                <w:rFonts w:ascii="Book Antiqua" w:eastAsia="Times New Roman" w:hAnsi="Book Antiqua" w:cs="Calibri"/>
                <w:color w:val="000000"/>
                <w:sz w:val="24"/>
                <w:szCs w:val="24"/>
                <w:lang w:eastAsia="en-US"/>
              </w:rPr>
            </w:pPr>
            <w:r w:rsidRPr="002C191A">
              <w:rPr>
                <w:rFonts w:ascii="Book Antiqua" w:eastAsia="Symbol" w:hAnsi="Book Antiqua" w:cs="Symbol"/>
                <w:color w:val="000000"/>
                <w:sz w:val="24"/>
                <w:szCs w:val="24"/>
                <w:lang w:eastAsia="en-US"/>
              </w:rPr>
              <w:t>Branding through celebrities</w:t>
            </w:r>
          </w:p>
        </w:tc>
        <w:tc>
          <w:tcPr>
            <w:tcW w:w="3378" w:type="pct"/>
            <w:tcBorders>
              <w:top w:val="nil"/>
              <w:left w:val="nil"/>
              <w:bottom w:val="single" w:sz="4" w:space="0" w:color="auto"/>
              <w:right w:val="single" w:sz="4" w:space="0" w:color="auto"/>
            </w:tcBorders>
            <w:shd w:val="clear" w:color="auto" w:fill="auto"/>
            <w:vAlign w:val="center"/>
            <w:hideMark/>
          </w:tcPr>
          <w:p w14:paraId="010BD843" w14:textId="77777777" w:rsidR="002C191A" w:rsidRPr="002C191A" w:rsidRDefault="002C191A" w:rsidP="002C191A">
            <w:pPr>
              <w:spacing w:after="0" w:line="240" w:lineRule="auto"/>
              <w:rPr>
                <w:rFonts w:ascii="Book Antiqua" w:eastAsia="Times New Roman" w:hAnsi="Book Antiqua" w:cs="Calibri"/>
                <w:color w:val="000000"/>
                <w:sz w:val="24"/>
                <w:szCs w:val="24"/>
                <w:lang w:eastAsia="en-US"/>
              </w:rPr>
            </w:pPr>
            <w:r w:rsidRPr="002C191A">
              <w:rPr>
                <w:rFonts w:ascii="Book Antiqua" w:eastAsia="Times New Roman" w:hAnsi="Book Antiqua" w:cs="Times New Roman"/>
                <w:color w:val="000000"/>
                <w:sz w:val="24"/>
                <w:szCs w:val="24"/>
                <w:lang w:eastAsia="en-US"/>
              </w:rPr>
              <w:t>Using famous figures like Ray Sahetapy &amp; Dewi Yull increases the appeal</w:t>
            </w:r>
          </w:p>
        </w:tc>
      </w:tr>
      <w:tr w:rsidR="002C191A" w:rsidRPr="002C191A" w14:paraId="5AB00B08" w14:textId="77777777" w:rsidTr="002C191A">
        <w:trPr>
          <w:trHeight w:val="20"/>
        </w:trPr>
        <w:tc>
          <w:tcPr>
            <w:tcW w:w="1622" w:type="pct"/>
            <w:tcBorders>
              <w:top w:val="nil"/>
              <w:left w:val="single" w:sz="4" w:space="0" w:color="auto"/>
              <w:bottom w:val="single" w:sz="4" w:space="0" w:color="auto"/>
              <w:right w:val="single" w:sz="4" w:space="0" w:color="auto"/>
            </w:tcBorders>
            <w:shd w:val="clear" w:color="auto" w:fill="auto"/>
            <w:vAlign w:val="center"/>
            <w:hideMark/>
          </w:tcPr>
          <w:p w14:paraId="09615A33" w14:textId="77777777" w:rsidR="002C191A" w:rsidRPr="002C191A" w:rsidRDefault="002C191A" w:rsidP="002C191A">
            <w:pPr>
              <w:spacing w:after="0" w:line="240" w:lineRule="auto"/>
              <w:ind w:firstLineChars="200" w:firstLine="480"/>
              <w:rPr>
                <w:rFonts w:ascii="Book Antiqua" w:eastAsia="Times New Roman" w:hAnsi="Book Antiqua" w:cs="Calibri"/>
                <w:color w:val="000000"/>
                <w:sz w:val="24"/>
                <w:szCs w:val="24"/>
                <w:lang w:eastAsia="en-US"/>
              </w:rPr>
            </w:pPr>
            <w:r w:rsidRPr="002C191A">
              <w:rPr>
                <w:rFonts w:ascii="Book Antiqua" w:eastAsia="Symbol" w:hAnsi="Book Antiqua" w:cs="Symbol"/>
                <w:color w:val="000000"/>
                <w:sz w:val="24"/>
                <w:szCs w:val="24"/>
                <w:lang w:eastAsia="en-US"/>
              </w:rPr>
              <w:t>Distribution penetration</w:t>
            </w:r>
          </w:p>
        </w:tc>
        <w:tc>
          <w:tcPr>
            <w:tcW w:w="3378" w:type="pct"/>
            <w:tcBorders>
              <w:top w:val="nil"/>
              <w:left w:val="nil"/>
              <w:bottom w:val="single" w:sz="4" w:space="0" w:color="auto"/>
              <w:right w:val="single" w:sz="4" w:space="0" w:color="auto"/>
            </w:tcBorders>
            <w:shd w:val="clear" w:color="auto" w:fill="auto"/>
            <w:vAlign w:val="center"/>
            <w:hideMark/>
          </w:tcPr>
          <w:p w14:paraId="76CE12B1" w14:textId="77777777" w:rsidR="002C191A" w:rsidRPr="002C191A" w:rsidRDefault="002C191A" w:rsidP="002C191A">
            <w:pPr>
              <w:spacing w:after="0" w:line="240" w:lineRule="auto"/>
              <w:rPr>
                <w:rFonts w:ascii="Book Antiqua" w:eastAsia="Times New Roman" w:hAnsi="Book Antiqua" w:cs="Calibri"/>
                <w:color w:val="000000"/>
                <w:sz w:val="24"/>
                <w:szCs w:val="24"/>
                <w:lang w:eastAsia="en-US"/>
              </w:rPr>
            </w:pPr>
            <w:r w:rsidRPr="002C191A">
              <w:rPr>
                <w:rFonts w:ascii="Book Antiqua" w:eastAsia="Times New Roman" w:hAnsi="Book Antiqua" w:cs="Times New Roman"/>
                <w:color w:val="000000"/>
                <w:sz w:val="24"/>
                <w:szCs w:val="24"/>
                <w:lang w:eastAsia="en-US"/>
              </w:rPr>
              <w:t>Dealers are spread throughout Indonesia</w:t>
            </w:r>
          </w:p>
        </w:tc>
      </w:tr>
      <w:tr w:rsidR="002C191A" w:rsidRPr="002C191A" w14:paraId="3A9F4B1A" w14:textId="77777777" w:rsidTr="002C191A">
        <w:trPr>
          <w:trHeight w:val="20"/>
        </w:trPr>
        <w:tc>
          <w:tcPr>
            <w:tcW w:w="1622" w:type="pct"/>
            <w:tcBorders>
              <w:top w:val="nil"/>
              <w:left w:val="single" w:sz="4" w:space="0" w:color="auto"/>
              <w:bottom w:val="single" w:sz="4" w:space="0" w:color="auto"/>
              <w:right w:val="single" w:sz="4" w:space="0" w:color="auto"/>
            </w:tcBorders>
            <w:shd w:val="clear" w:color="auto" w:fill="auto"/>
            <w:vAlign w:val="center"/>
            <w:hideMark/>
          </w:tcPr>
          <w:p w14:paraId="2EA42021" w14:textId="77777777" w:rsidR="002C191A" w:rsidRPr="002C191A" w:rsidRDefault="002C191A" w:rsidP="002C191A">
            <w:pPr>
              <w:spacing w:after="0" w:line="240" w:lineRule="auto"/>
              <w:ind w:firstLineChars="200" w:firstLine="480"/>
              <w:rPr>
                <w:rFonts w:ascii="Book Antiqua" w:eastAsia="Times New Roman" w:hAnsi="Book Antiqua" w:cs="Calibri"/>
                <w:color w:val="000000"/>
                <w:sz w:val="24"/>
                <w:szCs w:val="24"/>
                <w:lang w:eastAsia="en-US"/>
              </w:rPr>
            </w:pPr>
            <w:r w:rsidRPr="002C191A">
              <w:rPr>
                <w:rFonts w:ascii="Book Antiqua" w:eastAsia="Symbol" w:hAnsi="Book Antiqua" w:cs="Symbol"/>
                <w:color w:val="000000"/>
                <w:sz w:val="24"/>
                <w:szCs w:val="24"/>
                <w:lang w:eastAsia="en-US"/>
              </w:rPr>
              <w:t>Adaptation to media policies</w:t>
            </w:r>
          </w:p>
        </w:tc>
        <w:tc>
          <w:tcPr>
            <w:tcW w:w="3378" w:type="pct"/>
            <w:tcBorders>
              <w:top w:val="nil"/>
              <w:left w:val="nil"/>
              <w:bottom w:val="single" w:sz="4" w:space="0" w:color="auto"/>
              <w:right w:val="single" w:sz="4" w:space="0" w:color="auto"/>
            </w:tcBorders>
            <w:shd w:val="clear" w:color="auto" w:fill="auto"/>
            <w:vAlign w:val="center"/>
            <w:hideMark/>
          </w:tcPr>
          <w:p w14:paraId="69714CE1" w14:textId="77777777" w:rsidR="002C191A" w:rsidRPr="002C191A" w:rsidRDefault="002C191A" w:rsidP="002C191A">
            <w:pPr>
              <w:spacing w:after="0" w:line="240" w:lineRule="auto"/>
              <w:rPr>
                <w:rFonts w:ascii="Book Antiqua" w:eastAsia="Times New Roman" w:hAnsi="Book Antiqua" w:cs="Calibri"/>
                <w:color w:val="000000"/>
                <w:sz w:val="24"/>
                <w:szCs w:val="24"/>
                <w:lang w:eastAsia="en-US"/>
              </w:rPr>
            </w:pPr>
            <w:r w:rsidRPr="002C191A">
              <w:rPr>
                <w:rFonts w:ascii="Book Antiqua" w:eastAsia="Times New Roman" w:hAnsi="Book Antiqua" w:cs="Times New Roman"/>
                <w:color w:val="000000"/>
                <w:sz w:val="24"/>
                <w:szCs w:val="24"/>
                <w:lang w:eastAsia="en-US"/>
              </w:rPr>
              <w:t>Successfully adjusted promotional strategy even though TV advertising was banned</w:t>
            </w:r>
          </w:p>
        </w:tc>
      </w:tr>
    </w:tbl>
    <w:p w14:paraId="0C10E57D" w14:textId="77777777" w:rsidR="00E13C70" w:rsidRDefault="00E13C70" w:rsidP="0016688A">
      <w:pPr>
        <w:pStyle w:val="Heading2"/>
        <w:spacing w:before="0" w:beforeAutospacing="0" w:after="0" w:afterAutospacing="0"/>
        <w:rPr>
          <w:rStyle w:val="Strong"/>
          <w:rFonts w:ascii="Book Antiqua" w:hAnsi="Book Antiqua"/>
          <w:b/>
          <w:bCs/>
          <w:sz w:val="24"/>
          <w:szCs w:val="24"/>
        </w:rPr>
      </w:pPr>
    </w:p>
    <w:p w14:paraId="7F4092FF" w14:textId="77777777" w:rsidR="00752718" w:rsidRPr="00FF2E8E" w:rsidRDefault="00752718" w:rsidP="0016688A">
      <w:pPr>
        <w:pStyle w:val="Heading2"/>
        <w:spacing w:before="0" w:beforeAutospacing="0" w:after="0" w:afterAutospacing="0"/>
        <w:rPr>
          <w:rFonts w:ascii="Book Antiqua" w:hAnsi="Book Antiqua"/>
          <w:b w:val="0"/>
          <w:sz w:val="24"/>
          <w:szCs w:val="24"/>
        </w:rPr>
      </w:pPr>
      <w:r w:rsidRPr="00FF2E8E">
        <w:rPr>
          <w:rStyle w:val="Strong"/>
          <w:rFonts w:ascii="Book Antiqua" w:hAnsi="Book Antiqua"/>
          <w:b/>
          <w:sz w:val="24"/>
          <w:szCs w:val="24"/>
        </w:rPr>
        <w:t>Conclusion</w:t>
      </w:r>
    </w:p>
    <w:p w14:paraId="6B542F61" w14:textId="77777777" w:rsidR="00752718" w:rsidRPr="00FF2E8E" w:rsidRDefault="00752718" w:rsidP="00972C83">
      <w:pPr>
        <w:pStyle w:val="NormalWeb"/>
        <w:spacing w:before="0" w:beforeAutospacing="0" w:after="0" w:afterAutospacing="0"/>
        <w:ind w:firstLine="720"/>
        <w:jc w:val="both"/>
        <w:rPr>
          <w:rFonts w:ascii="Book Antiqua" w:hAnsi="Book Antiqua"/>
        </w:rPr>
      </w:pPr>
      <w:r w:rsidRPr="00FF2E8E">
        <w:rPr>
          <w:rFonts w:ascii="Book Antiqua" w:hAnsi="Book Antiqua"/>
        </w:rPr>
        <w:t>The success of the Toyota Kijang in the period 1977–1996 was the result of a combination of various key factors, ranging from the ability to adapt to government regulations and social dynamics of society, to the strategic transformation from a commercial vehicle to a family car that met the needs of the domestic market. This success was also supported by the implementation of a comprehensive marketing strategy through a marketing mix approach (7P), which includes aspects of product, price, place, promotion, people, process, and physical evidence. In addition, Toyota was able to utilize a strong communication strategy emotionally and culturally, through advertisements that touched on family values and national pride, even though it had to be run amidst media restrictions during the New Order era. All these elements synergized.</w:t>
      </w:r>
    </w:p>
    <w:p w14:paraId="17AA8810" w14:textId="77777777" w:rsidR="00752718" w:rsidRPr="00FF2E8E" w:rsidRDefault="00752718" w:rsidP="0052602D">
      <w:pPr>
        <w:pStyle w:val="NormalWeb"/>
        <w:spacing w:before="0" w:beforeAutospacing="0" w:after="0" w:afterAutospacing="0"/>
        <w:ind w:firstLine="720"/>
        <w:jc w:val="both"/>
        <w:rPr>
          <w:rFonts w:ascii="Book Antiqua" w:hAnsi="Book Antiqua"/>
        </w:rPr>
      </w:pPr>
      <w:r w:rsidRPr="00FF2E8E">
        <w:rPr>
          <w:rFonts w:ascii="Book Antiqua" w:hAnsi="Book Antiqua"/>
        </w:rPr>
        <w:t>The transformation of the Toyota Kijang from a commercial vehicle to a family vehicle reflects the social, economic, and political dynamics of Indonesia during the period 1977–1996. The Kijang's success was determined not only by product innovation, but also by Toyota's ability to read the cultural context and utilize media to build a strong image in the minds of consumers. Emotional advertising strategies, the use of public figures, and adaptation to media regulations prove that marketing is not just a promotional activity, but also a strategy for communicating brand values and identity.</w:t>
      </w:r>
    </w:p>
    <w:p w14:paraId="04328FFA" w14:textId="77777777" w:rsidR="00752718" w:rsidRPr="00FF2E8E" w:rsidRDefault="00752718" w:rsidP="0052602D">
      <w:pPr>
        <w:pStyle w:val="NormalWeb"/>
        <w:spacing w:before="0" w:beforeAutospacing="0" w:after="0" w:afterAutospacing="0"/>
        <w:ind w:firstLine="720"/>
        <w:jc w:val="both"/>
        <w:rPr>
          <w:rFonts w:ascii="Book Antiqua" w:hAnsi="Book Antiqua"/>
        </w:rPr>
      </w:pPr>
      <w:r w:rsidRPr="00FF2E8E">
        <w:rPr>
          <w:rFonts w:ascii="Book Antiqua" w:hAnsi="Book Antiqua"/>
        </w:rPr>
        <w:t>The Toyota Kijang is not just a vehicle, but has become a symbol of mobility, family, and prosperity for the Indonesian people. Advertising plays a crucial role in the transformation of the Toyota Kijang's image, from a commercial vehicle to a family car that is closely related to people's daily lives. The success of the Toyota Kijang lies not only in its ability to meet the practical needs of consumers, but also in shaping a cultural identity that reflects family values and social aspirations. This study shows a close relationship between state policy, the development of the automotive industry, the role of the media, and the dynamics of the formation of consumer culture, which together shape the success of the Toyota Kijang as a national automotive icon.</w:t>
      </w:r>
    </w:p>
    <w:p w14:paraId="22CA2C35" w14:textId="77777777" w:rsidR="00752718" w:rsidRPr="00FF2E8E" w:rsidRDefault="00752718" w:rsidP="0016688A">
      <w:pPr>
        <w:pStyle w:val="ListParagraph"/>
        <w:spacing w:after="0" w:line="240" w:lineRule="auto"/>
        <w:ind w:left="0"/>
        <w:outlineLvl w:val="1"/>
        <w:rPr>
          <w:rFonts w:ascii="Book Antiqua" w:eastAsia="Times New Roman" w:hAnsi="Book Antiqua" w:cs="Times New Roman"/>
          <w:b/>
          <w:bCs/>
          <w:sz w:val="24"/>
          <w:szCs w:val="24"/>
        </w:rPr>
      </w:pPr>
    </w:p>
    <w:p w14:paraId="410EC48C" w14:textId="77777777" w:rsidR="00752718" w:rsidRPr="00FF2E8E" w:rsidRDefault="00752718" w:rsidP="0016688A">
      <w:pPr>
        <w:pStyle w:val="ListParagraph"/>
        <w:spacing w:after="0" w:line="240" w:lineRule="auto"/>
        <w:ind w:left="0"/>
        <w:outlineLvl w:val="1"/>
        <w:rPr>
          <w:rFonts w:ascii="Book Antiqua" w:eastAsia="Times New Roman" w:hAnsi="Book Antiqua" w:cs="Times New Roman"/>
          <w:b/>
          <w:bCs/>
          <w:sz w:val="24"/>
          <w:szCs w:val="24"/>
        </w:rPr>
      </w:pPr>
      <w:r w:rsidRPr="00FF2E8E">
        <w:rPr>
          <w:rFonts w:ascii="Book Antiqua" w:eastAsia="Times New Roman" w:hAnsi="Book Antiqua" w:cs="Times New Roman"/>
          <w:b/>
          <w:bCs/>
          <w:sz w:val="24"/>
          <w:szCs w:val="24"/>
        </w:rPr>
        <w:t>Reference</w:t>
      </w:r>
    </w:p>
    <w:p w14:paraId="5F275639" w14:textId="1FEFBDB9" w:rsidR="00F76C95" w:rsidRPr="00F76C95" w:rsidRDefault="00F76C95" w:rsidP="00F76C95">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Pr>
          <w:rFonts w:ascii="Book Antiqua" w:hAnsi="Book Antiqua" w:cs="Times New Roman"/>
          <w:sz w:val="24"/>
          <w:szCs w:val="24"/>
        </w:rPr>
        <w:fldChar w:fldCharType="begin" w:fldLock="1"/>
      </w:r>
      <w:r>
        <w:rPr>
          <w:rFonts w:ascii="Book Antiqua" w:hAnsi="Book Antiqua" w:cs="Times New Roman"/>
          <w:sz w:val="24"/>
          <w:szCs w:val="24"/>
        </w:rPr>
        <w:instrText xml:space="preserve">ADDIN Mendeley Bibliography CSL_BIBLIOGRAPHY </w:instrText>
      </w:r>
      <w:r>
        <w:rPr>
          <w:rFonts w:ascii="Book Antiqua" w:hAnsi="Book Antiqua" w:cs="Times New Roman"/>
          <w:sz w:val="24"/>
          <w:szCs w:val="24"/>
        </w:rPr>
        <w:fldChar w:fldCharType="separate"/>
      </w:r>
      <w:r w:rsidRPr="00F76C95">
        <w:rPr>
          <w:rFonts w:ascii="Book Antiqua" w:hAnsi="Book Antiqua" w:cs="Times New Roman"/>
          <w:noProof/>
          <w:sz w:val="24"/>
          <w:szCs w:val="24"/>
        </w:rPr>
        <w:t xml:space="preserve">DP, U. (2022). Pendidikan Islam dalam Perspektif Metode Penelitian Sejarah. </w:t>
      </w:r>
      <w:r w:rsidRPr="00F76C95">
        <w:rPr>
          <w:rFonts w:ascii="Book Antiqua" w:hAnsi="Book Antiqua" w:cs="Times New Roman"/>
          <w:i/>
          <w:iCs/>
          <w:noProof/>
          <w:sz w:val="24"/>
          <w:szCs w:val="24"/>
        </w:rPr>
        <w:t>Darul Ulum: Jurnal Ilmiah Keagamaan, Pendidikan Dan Kemasyarakatan</w:t>
      </w:r>
      <w:r w:rsidRPr="00F76C95">
        <w:rPr>
          <w:rFonts w:ascii="Book Antiqua" w:hAnsi="Book Antiqua" w:cs="Times New Roman"/>
          <w:noProof/>
          <w:sz w:val="24"/>
          <w:szCs w:val="24"/>
        </w:rPr>
        <w:t xml:space="preserve">, </w:t>
      </w:r>
      <w:r w:rsidRPr="00F76C95">
        <w:rPr>
          <w:rFonts w:ascii="Book Antiqua" w:hAnsi="Book Antiqua" w:cs="Times New Roman"/>
          <w:i/>
          <w:iCs/>
          <w:noProof/>
          <w:sz w:val="24"/>
          <w:szCs w:val="24"/>
        </w:rPr>
        <w:t>13</w:t>
      </w:r>
      <w:r w:rsidRPr="00F76C95">
        <w:rPr>
          <w:rFonts w:ascii="Book Antiqua" w:hAnsi="Book Antiqua" w:cs="Times New Roman"/>
          <w:noProof/>
          <w:sz w:val="24"/>
          <w:szCs w:val="24"/>
        </w:rPr>
        <w:t>(1), 51–74.</w:t>
      </w:r>
    </w:p>
    <w:p w14:paraId="0323AF10" w14:textId="77777777" w:rsidR="00F76C95" w:rsidRPr="00F76C95" w:rsidRDefault="00F76C95" w:rsidP="00F76C95">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F76C95">
        <w:rPr>
          <w:rFonts w:ascii="Book Antiqua" w:hAnsi="Book Antiqua" w:cs="Times New Roman"/>
          <w:noProof/>
          <w:sz w:val="24"/>
          <w:szCs w:val="24"/>
        </w:rPr>
        <w:t xml:space="preserve">Huda, N., Korbaffo, Y. A., &amp; Timo, F. (2021). Analisis Faktor-faktor yang Mempengaruhi Konsumen dalam Pengambilan Keputusan Pembelian Kitab Cetakan Beirut. </w:t>
      </w:r>
      <w:r w:rsidRPr="00F76C95">
        <w:rPr>
          <w:rFonts w:ascii="Book Antiqua" w:hAnsi="Book Antiqua" w:cs="Times New Roman"/>
          <w:i/>
          <w:iCs/>
          <w:noProof/>
          <w:sz w:val="24"/>
          <w:szCs w:val="24"/>
        </w:rPr>
        <w:t>Inspirasi Ekonomi</w:t>
      </w:r>
      <w:r w:rsidRPr="00F76C95">
        <w:rPr>
          <w:rFonts w:ascii="Book Antiqua" w:hAnsi="Book Antiqua" w:cs="Times New Roman"/>
          <w:noProof/>
          <w:sz w:val="24"/>
          <w:szCs w:val="24"/>
        </w:rPr>
        <w:t xml:space="preserve">, </w:t>
      </w:r>
      <w:r w:rsidRPr="00F76C95">
        <w:rPr>
          <w:rFonts w:ascii="Book Antiqua" w:hAnsi="Book Antiqua" w:cs="Times New Roman"/>
          <w:i/>
          <w:iCs/>
          <w:noProof/>
          <w:sz w:val="24"/>
          <w:szCs w:val="24"/>
        </w:rPr>
        <w:t>3</w:t>
      </w:r>
      <w:r w:rsidRPr="00F76C95">
        <w:rPr>
          <w:rFonts w:ascii="Book Antiqua" w:hAnsi="Book Antiqua" w:cs="Times New Roman"/>
          <w:noProof/>
          <w:sz w:val="24"/>
          <w:szCs w:val="24"/>
        </w:rPr>
        <w:t>(1), 349935.</w:t>
      </w:r>
    </w:p>
    <w:p w14:paraId="0AFFB0F0" w14:textId="77777777" w:rsidR="00F76C95" w:rsidRPr="00F76C95" w:rsidRDefault="00F76C95" w:rsidP="00F76C95">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F76C95">
        <w:rPr>
          <w:rFonts w:ascii="Book Antiqua" w:hAnsi="Book Antiqua" w:cs="Times New Roman"/>
          <w:noProof/>
          <w:sz w:val="24"/>
          <w:szCs w:val="24"/>
        </w:rPr>
        <w:t xml:space="preserve">Imani, M. F., Fikri, M. K., &amp; Filzah, A. (2022). Pengaruh kreatif, inovasi dan strategi pemasaran terhadap peningkatan daya beli konsumen. </w:t>
      </w:r>
      <w:r w:rsidRPr="00F76C95">
        <w:rPr>
          <w:rFonts w:ascii="Book Antiqua" w:hAnsi="Book Antiqua" w:cs="Times New Roman"/>
          <w:i/>
          <w:iCs/>
          <w:noProof/>
          <w:sz w:val="24"/>
          <w:szCs w:val="24"/>
        </w:rPr>
        <w:t>Jurnal Ilmu Manajemen, Ekonomi Dan Kewirausahaan</w:t>
      </w:r>
      <w:r w:rsidRPr="00F76C95">
        <w:rPr>
          <w:rFonts w:ascii="Book Antiqua" w:hAnsi="Book Antiqua" w:cs="Times New Roman"/>
          <w:noProof/>
          <w:sz w:val="24"/>
          <w:szCs w:val="24"/>
        </w:rPr>
        <w:t xml:space="preserve">, </w:t>
      </w:r>
      <w:r w:rsidRPr="00F76C95">
        <w:rPr>
          <w:rFonts w:ascii="Book Antiqua" w:hAnsi="Book Antiqua" w:cs="Times New Roman"/>
          <w:i/>
          <w:iCs/>
          <w:noProof/>
          <w:sz w:val="24"/>
          <w:szCs w:val="24"/>
        </w:rPr>
        <w:t>2</w:t>
      </w:r>
      <w:r w:rsidRPr="00F76C95">
        <w:rPr>
          <w:rFonts w:ascii="Book Antiqua" w:hAnsi="Book Antiqua" w:cs="Times New Roman"/>
          <w:noProof/>
          <w:sz w:val="24"/>
          <w:szCs w:val="24"/>
        </w:rPr>
        <w:t>(1), 117–138.</w:t>
      </w:r>
    </w:p>
    <w:p w14:paraId="0E339C8B" w14:textId="77777777" w:rsidR="00F76C95" w:rsidRPr="00F76C95" w:rsidRDefault="00F76C95" w:rsidP="00F76C95">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F76C95">
        <w:rPr>
          <w:rFonts w:ascii="Book Antiqua" w:hAnsi="Book Antiqua" w:cs="Times New Roman"/>
          <w:noProof/>
          <w:sz w:val="24"/>
          <w:szCs w:val="24"/>
        </w:rPr>
        <w:t xml:space="preserve">Kotler, P., Keller, K. L., Ang, S. H., Tan, C. T., &amp; Leong, S. M. (2018). </w:t>
      </w:r>
      <w:r w:rsidRPr="00F76C95">
        <w:rPr>
          <w:rFonts w:ascii="Book Antiqua" w:hAnsi="Book Antiqua" w:cs="Times New Roman"/>
          <w:i/>
          <w:iCs/>
          <w:noProof/>
          <w:sz w:val="24"/>
          <w:szCs w:val="24"/>
        </w:rPr>
        <w:t>Marketing management: an Asian perspective</w:t>
      </w:r>
      <w:r w:rsidRPr="00F76C95">
        <w:rPr>
          <w:rFonts w:ascii="Book Antiqua" w:hAnsi="Book Antiqua" w:cs="Times New Roman"/>
          <w:noProof/>
          <w:sz w:val="24"/>
          <w:szCs w:val="24"/>
        </w:rPr>
        <w:t>. Pearson Harlow.</w:t>
      </w:r>
    </w:p>
    <w:p w14:paraId="6D093130" w14:textId="77777777" w:rsidR="00F76C95" w:rsidRPr="00F76C95" w:rsidRDefault="00F76C95" w:rsidP="00F76C95">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F76C95">
        <w:rPr>
          <w:rFonts w:ascii="Book Antiqua" w:hAnsi="Book Antiqua" w:cs="Times New Roman"/>
          <w:noProof/>
          <w:sz w:val="24"/>
          <w:szCs w:val="24"/>
        </w:rPr>
        <w:t xml:space="preserve">Maydianta, M. C. (2020). </w:t>
      </w:r>
      <w:r w:rsidRPr="00F76C95">
        <w:rPr>
          <w:rFonts w:ascii="Book Antiqua" w:hAnsi="Book Antiqua" w:cs="Times New Roman"/>
          <w:i/>
          <w:iCs/>
          <w:noProof/>
          <w:sz w:val="24"/>
          <w:szCs w:val="24"/>
        </w:rPr>
        <w:t>Desain Mobil Pedesaan dengan Konsep Multifungsi sebagai Sarana Penunjang Aktivitas Masyarakat (Studi Kasus Kecamatan Bangkalan, Madura).</w:t>
      </w:r>
      <w:r w:rsidRPr="00F76C95">
        <w:rPr>
          <w:rFonts w:ascii="Book Antiqua" w:hAnsi="Book Antiqua" w:cs="Times New Roman"/>
          <w:noProof/>
          <w:sz w:val="24"/>
          <w:szCs w:val="24"/>
        </w:rPr>
        <w:t xml:space="preserve"> Institut Teknologi Sepuluh Nopember.</w:t>
      </w:r>
    </w:p>
    <w:p w14:paraId="14B0F1F1" w14:textId="77777777" w:rsidR="00F76C95" w:rsidRPr="00F76C95" w:rsidRDefault="00F76C95" w:rsidP="00F76C95">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F76C95">
        <w:rPr>
          <w:rFonts w:ascii="Book Antiqua" w:hAnsi="Book Antiqua" w:cs="Times New Roman"/>
          <w:noProof/>
          <w:sz w:val="24"/>
          <w:szCs w:val="24"/>
        </w:rPr>
        <w:t xml:space="preserve">Nurhayaty, M. (2022). Strategi mix marketing (product, price, place, promotion, eople, process, physical evidence) 7p di pd rasa galendo kabupaten ciamis. </w:t>
      </w:r>
      <w:r w:rsidRPr="00F76C95">
        <w:rPr>
          <w:rFonts w:ascii="Book Antiqua" w:hAnsi="Book Antiqua" w:cs="Times New Roman"/>
          <w:i/>
          <w:iCs/>
          <w:noProof/>
          <w:sz w:val="24"/>
          <w:szCs w:val="24"/>
        </w:rPr>
        <w:t>Jurnal Media Teknologi</w:t>
      </w:r>
      <w:r w:rsidRPr="00F76C95">
        <w:rPr>
          <w:rFonts w:ascii="Book Antiqua" w:hAnsi="Book Antiqua" w:cs="Times New Roman"/>
          <w:noProof/>
          <w:sz w:val="24"/>
          <w:szCs w:val="24"/>
        </w:rPr>
        <w:t xml:space="preserve">, </w:t>
      </w:r>
      <w:r w:rsidRPr="00F76C95">
        <w:rPr>
          <w:rFonts w:ascii="Book Antiqua" w:hAnsi="Book Antiqua" w:cs="Times New Roman"/>
          <w:i/>
          <w:iCs/>
          <w:noProof/>
          <w:sz w:val="24"/>
          <w:szCs w:val="24"/>
        </w:rPr>
        <w:t>8</w:t>
      </w:r>
      <w:r w:rsidRPr="00F76C95">
        <w:rPr>
          <w:rFonts w:ascii="Book Antiqua" w:hAnsi="Book Antiqua" w:cs="Times New Roman"/>
          <w:noProof/>
          <w:sz w:val="24"/>
          <w:szCs w:val="24"/>
        </w:rPr>
        <w:t>(2), 119–127.</w:t>
      </w:r>
    </w:p>
    <w:p w14:paraId="633E7135" w14:textId="77777777" w:rsidR="00F76C95" w:rsidRPr="00F76C95" w:rsidRDefault="00F76C95" w:rsidP="00F76C95">
      <w:pPr>
        <w:widowControl w:val="0"/>
        <w:autoSpaceDE w:val="0"/>
        <w:autoSpaceDN w:val="0"/>
        <w:adjustRightInd w:val="0"/>
        <w:spacing w:after="0" w:line="240" w:lineRule="auto"/>
        <w:ind w:left="480" w:hanging="480"/>
        <w:jc w:val="both"/>
        <w:rPr>
          <w:rFonts w:ascii="Book Antiqua" w:hAnsi="Book Antiqua"/>
          <w:noProof/>
          <w:sz w:val="24"/>
        </w:rPr>
      </w:pPr>
      <w:r w:rsidRPr="00F76C95">
        <w:rPr>
          <w:rFonts w:ascii="Book Antiqua" w:hAnsi="Book Antiqua" w:cs="Times New Roman"/>
          <w:noProof/>
          <w:sz w:val="24"/>
          <w:szCs w:val="24"/>
        </w:rPr>
        <w:t xml:space="preserve">Yusuf, H., &amp; others. (2024). Pengaruh Media Massa Terhadap Persepsi Dan Tingkat Kriminalitas: Analisis Terhadap Efek Media Dalam Pembentukan Opini Publik. </w:t>
      </w:r>
      <w:r w:rsidRPr="00F76C95">
        <w:rPr>
          <w:rFonts w:ascii="Book Antiqua" w:hAnsi="Book Antiqua" w:cs="Times New Roman"/>
          <w:i/>
          <w:iCs/>
          <w:noProof/>
          <w:sz w:val="24"/>
          <w:szCs w:val="24"/>
        </w:rPr>
        <w:t>Jurnal Intelek Dan Cendikiawan Nusantara</w:t>
      </w:r>
      <w:r w:rsidRPr="00F76C95">
        <w:rPr>
          <w:rFonts w:ascii="Book Antiqua" w:hAnsi="Book Antiqua" w:cs="Times New Roman"/>
          <w:noProof/>
          <w:sz w:val="24"/>
          <w:szCs w:val="24"/>
        </w:rPr>
        <w:t xml:space="preserve">, </w:t>
      </w:r>
      <w:r w:rsidRPr="00F76C95">
        <w:rPr>
          <w:rFonts w:ascii="Book Antiqua" w:hAnsi="Book Antiqua" w:cs="Times New Roman"/>
          <w:i/>
          <w:iCs/>
          <w:noProof/>
          <w:sz w:val="24"/>
          <w:szCs w:val="24"/>
        </w:rPr>
        <w:t>1</w:t>
      </w:r>
      <w:r w:rsidRPr="00F76C95">
        <w:rPr>
          <w:rFonts w:ascii="Book Antiqua" w:hAnsi="Book Antiqua" w:cs="Times New Roman"/>
          <w:noProof/>
          <w:sz w:val="24"/>
          <w:szCs w:val="24"/>
        </w:rPr>
        <w:t>(2), 1047–1061.</w:t>
      </w:r>
    </w:p>
    <w:p w14:paraId="6E96F9C9" w14:textId="5DDA6F61" w:rsidR="00752718" w:rsidRPr="00FF2E8E" w:rsidRDefault="00F76C95" w:rsidP="00F76C95">
      <w:pPr>
        <w:spacing w:after="0" w:line="240" w:lineRule="auto"/>
        <w:jc w:val="both"/>
        <w:rPr>
          <w:rFonts w:ascii="Book Antiqua" w:hAnsi="Book Antiqua" w:cs="Times New Roman"/>
          <w:sz w:val="24"/>
          <w:szCs w:val="24"/>
        </w:rPr>
      </w:pPr>
      <w:r>
        <w:rPr>
          <w:rFonts w:ascii="Book Antiqua" w:hAnsi="Book Antiqua" w:cs="Times New Roman"/>
          <w:sz w:val="24"/>
          <w:szCs w:val="24"/>
        </w:rPr>
        <w:fldChar w:fldCharType="end"/>
      </w:r>
    </w:p>
    <w:p w14:paraId="30F98670" w14:textId="77777777" w:rsidR="00B53E3D" w:rsidRPr="00FF2E8E" w:rsidRDefault="00673F58" w:rsidP="0016688A">
      <w:pPr>
        <w:spacing w:after="0" w:line="240" w:lineRule="auto"/>
        <w:rPr>
          <w:rFonts w:ascii="Book Antiqua" w:hAnsi="Book Antiqua"/>
          <w:sz w:val="24"/>
          <w:szCs w:val="24"/>
        </w:rPr>
      </w:pPr>
    </w:p>
    <w:sectPr w:rsidR="00B53E3D" w:rsidRPr="00FF2E8E" w:rsidSect="008C44B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pgNumType w:start="35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8FE57" w14:textId="77777777" w:rsidR="00673F58" w:rsidRDefault="00673F58" w:rsidP="005E1634">
      <w:pPr>
        <w:spacing w:after="0" w:line="240" w:lineRule="auto"/>
      </w:pPr>
      <w:r>
        <w:separator/>
      </w:r>
    </w:p>
  </w:endnote>
  <w:endnote w:type="continuationSeparator" w:id="0">
    <w:p w14:paraId="7FF26050" w14:textId="77777777" w:rsidR="00673F58" w:rsidRDefault="00673F58" w:rsidP="005E1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arsity Regular">
    <w:altName w:val="Calibri"/>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A0DC7" w14:textId="77777777" w:rsidR="00555FC5" w:rsidRDefault="00555FC5" w:rsidP="00555FC5">
    <w:pPr>
      <w:rPr>
        <w:rFonts w:ascii="Cambria" w:hAnsi="Cambria"/>
        <w:b/>
        <w:bCs/>
        <w:color w:val="003300"/>
        <w:lang w:val="en-ID"/>
      </w:rPr>
    </w:pPr>
  </w:p>
  <w:p w14:paraId="09AF8581" w14:textId="77777777" w:rsidR="00555FC5" w:rsidRPr="00491296" w:rsidRDefault="00555FC5" w:rsidP="00555FC5">
    <w:pPr>
      <w:jc w:val="center"/>
      <w:rPr>
        <w:rFonts w:ascii="Cambria" w:hAnsi="Cambria"/>
        <w:b/>
        <w:lang w:val="en-ID"/>
      </w:rPr>
    </w:pPr>
    <w:r>
      <w:rPr>
        <w:rFonts w:ascii="Cambria" w:hAnsi="Cambria"/>
        <w:b/>
        <w:bCs/>
        <w:color w:val="365F91" w:themeColor="accent1" w:themeShade="BF"/>
        <w:lang w:val="en-ID"/>
      </w:rPr>
      <w:t>PASTIDEV</w:t>
    </w:r>
    <w:r>
      <w:rPr>
        <w:rFonts w:ascii="Cambria" w:hAnsi="Cambria"/>
        <w:b/>
        <w:bCs/>
        <w:color w:val="003300"/>
        <w:lang w:val="en-ID"/>
      </w:rPr>
      <w:t xml:space="preserve"> </w:t>
    </w:r>
    <w:r w:rsidRPr="00BE3B38">
      <w:rPr>
        <w:rFonts w:ascii="Cambria" w:hAnsi="Cambria"/>
      </w:rPr>
      <w:t>Page</w:t>
    </w:r>
    <w:r w:rsidRPr="00BE3B38">
      <w:rPr>
        <w:rFonts w:ascii="Cambria" w:hAnsi="Cambria"/>
        <w:b/>
        <w:bCs/>
      </w:rPr>
      <w:fldChar w:fldCharType="begin"/>
    </w:r>
    <w:r w:rsidRPr="00BE3B38">
      <w:rPr>
        <w:rFonts w:ascii="Cambria" w:hAnsi="Cambria"/>
        <w:b/>
        <w:bCs/>
      </w:rPr>
      <w:instrText xml:space="preserve"> PAGE </w:instrText>
    </w:r>
    <w:r w:rsidRPr="00BE3B38">
      <w:rPr>
        <w:rFonts w:ascii="Cambria" w:hAnsi="Cambria"/>
        <w:b/>
        <w:bCs/>
      </w:rPr>
      <w:fldChar w:fldCharType="separate"/>
    </w:r>
    <w:r>
      <w:rPr>
        <w:rFonts w:ascii="Cambria" w:hAnsi="Cambria"/>
        <w:b/>
        <w:bCs/>
      </w:rPr>
      <w:t>112</w:t>
    </w:r>
    <w:r w:rsidRPr="00BE3B38">
      <w:rPr>
        <w:rFonts w:ascii="Cambria" w:hAnsi="Cambria"/>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F89F" w14:textId="77777777" w:rsidR="00F15EE2" w:rsidRDefault="00F15EE2" w:rsidP="00F15EE2">
    <w:pPr>
      <w:rPr>
        <w:rFonts w:ascii="Cambria" w:hAnsi="Cambria"/>
        <w:b/>
        <w:bCs/>
        <w:color w:val="003300"/>
        <w:lang w:val="en-ID"/>
      </w:rPr>
    </w:pPr>
    <w:r>
      <w:rPr>
        <w:rFonts w:ascii="Cambria" w:hAnsi="Cambria"/>
        <w:b/>
        <w:bCs/>
        <w:noProof/>
        <w:color w:val="003300"/>
        <w:lang w:val="en-ID"/>
      </w:rPr>
      <mc:AlternateContent>
        <mc:Choice Requires="wps">
          <w:drawing>
            <wp:anchor distT="0" distB="0" distL="114300" distR="114300" simplePos="0" relativeHeight="251663360" behindDoc="0" locked="0" layoutInCell="1" allowOverlap="1" wp14:anchorId="758478AF" wp14:editId="7616C689">
              <wp:simplePos x="0" y="0"/>
              <wp:positionH relativeFrom="margin">
                <wp:posOffset>2672080</wp:posOffset>
              </wp:positionH>
              <wp:positionV relativeFrom="paragraph">
                <wp:posOffset>154239</wp:posOffset>
              </wp:positionV>
              <wp:extent cx="3524250" cy="5905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24C6E" w14:textId="77777777" w:rsidR="00F15EE2" w:rsidRDefault="00F15EE2" w:rsidP="00F15EE2">
                          <w:pPr>
                            <w:spacing w:after="0" w:line="240" w:lineRule="auto"/>
                            <w:jc w:val="right"/>
                            <w:rPr>
                              <w:rFonts w:ascii="Cambria" w:hAnsi="Cambria" w:cs="Helvetica"/>
                              <w:color w:val="2C3E50"/>
                              <w:sz w:val="16"/>
                              <w:szCs w:val="16"/>
                            </w:rPr>
                          </w:pPr>
                        </w:p>
                        <w:p w14:paraId="5C5AF924" w14:textId="77777777" w:rsidR="00F15EE2" w:rsidRPr="006D2A3D" w:rsidRDefault="00F15EE2" w:rsidP="00F15EE2">
                          <w:pPr>
                            <w:spacing w:after="0" w:line="240" w:lineRule="auto"/>
                            <w:jc w:val="right"/>
                            <w:rPr>
                              <w:rFonts w:ascii="Book Antiqua" w:hAnsi="Book Antiqua"/>
                              <w:b/>
                              <w:bCs/>
                              <w:sz w:val="16"/>
                              <w:szCs w:val="18"/>
                              <w:lang w:val="en-GB"/>
                            </w:rPr>
                          </w:pPr>
                          <w:r w:rsidRPr="006D2A3D">
                            <w:rPr>
                              <w:rFonts w:ascii="Book Antiqua" w:hAnsi="Book Antiqua"/>
                              <w:b/>
                              <w:bCs/>
                              <w:sz w:val="16"/>
                              <w:szCs w:val="18"/>
                              <w:lang w:val="en-GB"/>
                            </w:rPr>
                            <w:t>Copyright © The Author(s)</w:t>
                          </w:r>
                        </w:p>
                        <w:p w14:paraId="2914CA79" w14:textId="77777777" w:rsidR="00F15EE2" w:rsidRPr="006D2A3D" w:rsidRDefault="00F15EE2" w:rsidP="00F15EE2">
                          <w:pPr>
                            <w:spacing w:after="0" w:line="240" w:lineRule="auto"/>
                            <w:jc w:val="right"/>
                            <w:rPr>
                              <w:sz w:val="16"/>
                              <w:szCs w:val="16"/>
                            </w:rPr>
                          </w:pPr>
                          <w:r w:rsidRPr="006D2A3D">
                            <w:rPr>
                              <w:rFonts w:ascii="Cambria" w:hAnsi="Cambria" w:cs="Helvetica"/>
                              <w:color w:val="2C3E50"/>
                              <w:sz w:val="16"/>
                              <w:szCs w:val="16"/>
                            </w:rPr>
                            <w:t>This work is licensed under a</w:t>
                          </w:r>
                          <w:hyperlink r:id="rId1" w:history="1"/>
                          <w:r w:rsidRPr="00861513">
                            <w:rPr>
                              <w:rFonts w:ascii="Calibri Light" w:hAnsi="Calibri Light"/>
                              <w:noProof/>
                              <w:sz w:val="20"/>
                              <w:lang w:val="en-GB"/>
                            </w:rPr>
                            <w:drawing>
                              <wp:inline distT="0" distB="0" distL="0" distR="0" wp14:anchorId="5C09D079" wp14:editId="7F8FA438">
                                <wp:extent cx="762000" cy="142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478AF" id="_x0000_t202" coordsize="21600,21600" o:spt="202" path="m,l,21600r21600,l21600,xe">
              <v:stroke joinstyle="miter"/>
              <v:path gradientshapeok="t" o:connecttype="rect"/>
            </v:shapetype>
            <v:shape id="Text Box 4" o:spid="_x0000_s1026" type="#_x0000_t202" style="position:absolute;margin-left:210.4pt;margin-top:12.15pt;width:277.5pt;height:46.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" filled="f" stroked="f">
              <v:textbox>
                <w:txbxContent>
                  <w:p w14:paraId="3BA24C6E" w14:textId="77777777" w:rsidR="00F15EE2" w:rsidRDefault="00F15EE2" w:rsidP="00F15EE2">
                    <w:pPr>
                      <w:spacing w:after="0" w:line="240" w:lineRule="auto"/>
                      <w:jc w:val="right"/>
                      <w:rPr>
                        <w:rFonts w:ascii="Cambria" w:hAnsi="Cambria" w:cs="Helvetica"/>
                        <w:color w:val="2C3E50"/>
                        <w:sz w:val="16"/>
                        <w:szCs w:val="16"/>
                      </w:rPr>
                    </w:pPr>
                  </w:p>
                  <w:p w14:paraId="5C5AF924" w14:textId="77777777" w:rsidR="00F15EE2" w:rsidRPr="006D2A3D" w:rsidRDefault="00F15EE2" w:rsidP="00F15EE2">
                    <w:pPr>
                      <w:spacing w:after="0" w:line="240" w:lineRule="auto"/>
                      <w:jc w:val="right"/>
                      <w:rPr>
                        <w:rFonts w:ascii="Book Antiqua" w:hAnsi="Book Antiqua"/>
                        <w:b/>
                        <w:bCs/>
                        <w:sz w:val="16"/>
                        <w:szCs w:val="18"/>
                        <w:lang w:val="en-GB"/>
                      </w:rPr>
                    </w:pPr>
                    <w:r w:rsidRPr="006D2A3D">
                      <w:rPr>
                        <w:rFonts w:ascii="Book Antiqua" w:hAnsi="Book Antiqua"/>
                        <w:b/>
                        <w:bCs/>
                        <w:sz w:val="16"/>
                        <w:szCs w:val="18"/>
                        <w:lang w:val="en-GB"/>
                      </w:rPr>
                      <w:t>Copyright © The Author(s)</w:t>
                    </w:r>
                  </w:p>
                  <w:p w14:paraId="2914CA79" w14:textId="77777777" w:rsidR="00F15EE2" w:rsidRPr="006D2A3D" w:rsidRDefault="00F15EE2" w:rsidP="00F15EE2">
                    <w:pPr>
                      <w:spacing w:after="0" w:line="240" w:lineRule="auto"/>
                      <w:jc w:val="right"/>
                      <w:rPr>
                        <w:sz w:val="16"/>
                        <w:szCs w:val="16"/>
                      </w:rPr>
                    </w:pPr>
                    <w:r w:rsidRPr="006D2A3D">
                      <w:rPr>
                        <w:rFonts w:ascii="Cambria" w:hAnsi="Cambria" w:cs="Helvetica"/>
                        <w:color w:val="2C3E50"/>
                        <w:sz w:val="16"/>
                        <w:szCs w:val="16"/>
                      </w:rPr>
                      <w:t>This work is licensed under a</w:t>
                    </w:r>
                    <w:hyperlink r:id="rId3" w:history="1"/>
                    <w:r w:rsidRPr="00861513">
                      <w:rPr>
                        <w:rFonts w:ascii="Calibri Light" w:hAnsi="Calibri Light"/>
                        <w:noProof/>
                        <w:sz w:val="20"/>
                        <w:lang w:val="en-GB"/>
                      </w:rPr>
                      <w:drawing>
                        <wp:inline distT="0" distB="0" distL="0" distR="0" wp14:anchorId="5C09D079" wp14:editId="7F8FA438">
                          <wp:extent cx="762000" cy="142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inline>
                      </w:drawing>
                    </w:r>
                  </w:p>
                </w:txbxContent>
              </v:textbox>
              <w10:wrap anchorx="margin"/>
            </v:shape>
          </w:pict>
        </mc:Fallback>
      </mc:AlternateContent>
    </w:r>
  </w:p>
  <w:p w14:paraId="2E9DC467" w14:textId="77777777" w:rsidR="00F15EE2" w:rsidRPr="00491296" w:rsidRDefault="00F15EE2" w:rsidP="00F15EE2">
    <w:pPr>
      <w:rPr>
        <w:rFonts w:ascii="Cambria" w:hAnsi="Cambria"/>
        <w:b/>
        <w:lang w:val="en-ID"/>
      </w:rPr>
    </w:pPr>
    <w:r>
      <w:rPr>
        <w:rFonts w:ascii="Cambria" w:hAnsi="Cambria"/>
        <w:b/>
        <w:bCs/>
        <w:color w:val="365F91" w:themeColor="accent1" w:themeShade="BF"/>
        <w:lang w:val="en-ID"/>
      </w:rPr>
      <w:t>PASCIDEV</w:t>
    </w:r>
    <w:r>
      <w:rPr>
        <w:rFonts w:ascii="Cambria" w:hAnsi="Cambria"/>
        <w:b/>
        <w:bCs/>
        <w:color w:val="003300"/>
        <w:lang w:val="en-ID"/>
      </w:rPr>
      <w:t xml:space="preserve"> </w:t>
    </w:r>
    <w:r w:rsidRPr="00BE3B38">
      <w:rPr>
        <w:rFonts w:ascii="Cambria" w:hAnsi="Cambria"/>
      </w:rPr>
      <w:t>Page</w:t>
    </w:r>
    <w:r>
      <w:rPr>
        <w:rFonts w:ascii="Cambria" w:hAnsi="Cambria"/>
      </w:rPr>
      <w:t xml:space="preserve"> </w:t>
    </w:r>
    <w:r w:rsidRPr="00BE3B38">
      <w:rPr>
        <w:rFonts w:ascii="Cambria" w:hAnsi="Cambria"/>
        <w:b/>
        <w:bCs/>
      </w:rPr>
      <w:fldChar w:fldCharType="begin"/>
    </w:r>
    <w:r w:rsidRPr="00BE3B38">
      <w:rPr>
        <w:rFonts w:ascii="Cambria" w:hAnsi="Cambria"/>
        <w:b/>
        <w:bCs/>
      </w:rPr>
      <w:instrText xml:space="preserve"> PAGE </w:instrText>
    </w:r>
    <w:r w:rsidRPr="00BE3B38">
      <w:rPr>
        <w:rFonts w:ascii="Cambria" w:hAnsi="Cambria"/>
        <w:b/>
        <w:bCs/>
      </w:rPr>
      <w:fldChar w:fldCharType="separate"/>
    </w:r>
    <w:r>
      <w:rPr>
        <w:rFonts w:ascii="Cambria" w:hAnsi="Cambria"/>
        <w:b/>
        <w:bCs/>
      </w:rPr>
      <w:t>1</w:t>
    </w:r>
    <w:r w:rsidRPr="00BE3B38">
      <w:rPr>
        <w:rFonts w:ascii="Cambria" w:hAnsi="Cambria"/>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E9BA4" w14:textId="77777777" w:rsidR="008C44BB" w:rsidRDefault="008C44BB" w:rsidP="008C44BB">
    <w:pPr>
      <w:rPr>
        <w:rFonts w:ascii="Cambria" w:hAnsi="Cambria"/>
        <w:b/>
        <w:bCs/>
        <w:color w:val="003300"/>
        <w:lang w:val="en-ID"/>
      </w:rPr>
    </w:pPr>
  </w:p>
  <w:p w14:paraId="5335BB24" w14:textId="77777777" w:rsidR="008C44BB" w:rsidRPr="00491296" w:rsidRDefault="008C44BB" w:rsidP="008C44BB">
    <w:pPr>
      <w:jc w:val="center"/>
      <w:rPr>
        <w:rFonts w:ascii="Cambria" w:hAnsi="Cambria"/>
        <w:b/>
        <w:lang w:val="en-ID"/>
      </w:rPr>
    </w:pPr>
    <w:r>
      <w:rPr>
        <w:rFonts w:ascii="Cambria" w:hAnsi="Cambria"/>
        <w:b/>
        <w:bCs/>
        <w:color w:val="365F91" w:themeColor="accent1" w:themeShade="BF"/>
        <w:lang w:val="en-ID"/>
      </w:rPr>
      <w:t>PASTIDEV</w:t>
    </w:r>
    <w:r>
      <w:rPr>
        <w:rFonts w:ascii="Cambria" w:hAnsi="Cambria"/>
        <w:b/>
        <w:bCs/>
        <w:color w:val="003300"/>
        <w:lang w:val="en-ID"/>
      </w:rPr>
      <w:t xml:space="preserve"> </w:t>
    </w:r>
    <w:r w:rsidRPr="00BE3B38">
      <w:rPr>
        <w:rFonts w:ascii="Cambria" w:hAnsi="Cambria"/>
      </w:rPr>
      <w:t>Page</w:t>
    </w:r>
    <w:r w:rsidRPr="00BE3B38">
      <w:rPr>
        <w:rFonts w:ascii="Cambria" w:hAnsi="Cambria"/>
        <w:b/>
        <w:bCs/>
      </w:rPr>
      <w:fldChar w:fldCharType="begin"/>
    </w:r>
    <w:r w:rsidRPr="00BE3B38">
      <w:rPr>
        <w:rFonts w:ascii="Cambria" w:hAnsi="Cambria"/>
        <w:b/>
        <w:bCs/>
      </w:rPr>
      <w:instrText xml:space="preserve"> PAGE </w:instrText>
    </w:r>
    <w:r w:rsidRPr="00BE3B38">
      <w:rPr>
        <w:rFonts w:ascii="Cambria" w:hAnsi="Cambria"/>
        <w:b/>
        <w:bCs/>
      </w:rPr>
      <w:fldChar w:fldCharType="separate"/>
    </w:r>
    <w:r>
      <w:rPr>
        <w:rFonts w:ascii="Cambria" w:hAnsi="Cambria"/>
        <w:b/>
        <w:bCs/>
      </w:rPr>
      <w:t>356</w:t>
    </w:r>
    <w:r w:rsidRPr="00BE3B38">
      <w:rPr>
        <w:rFonts w:ascii="Cambria" w:hAnsi="Cambria"/>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04C28" w14:textId="77777777" w:rsidR="00673F58" w:rsidRDefault="00673F58" w:rsidP="005E1634">
      <w:pPr>
        <w:spacing w:after="0" w:line="240" w:lineRule="auto"/>
      </w:pPr>
      <w:r>
        <w:separator/>
      </w:r>
    </w:p>
  </w:footnote>
  <w:footnote w:type="continuationSeparator" w:id="0">
    <w:p w14:paraId="3F4344DD" w14:textId="77777777" w:rsidR="00673F58" w:rsidRDefault="00673F58" w:rsidP="005E1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C380" w14:textId="77777777" w:rsidR="00C7660A" w:rsidRPr="003E4927" w:rsidRDefault="00C7660A" w:rsidP="00C7660A">
    <w:pPr>
      <w:pStyle w:val="Header"/>
      <w:pBdr>
        <w:bottom w:val="single" w:sz="4" w:space="1" w:color="auto"/>
      </w:pBdr>
      <w:rPr>
        <w:rFonts w:ascii="Book Antiqua" w:hAnsi="Book Antiqua"/>
        <w:b/>
        <w:bCs/>
        <w:color w:val="365F91" w:themeColor="accent1" w:themeShade="BF"/>
        <w:lang w:val="en-GB"/>
      </w:rPr>
    </w:pPr>
    <w:r w:rsidRPr="003E4927">
      <w:rPr>
        <w:rFonts w:ascii="Book Antiqua" w:hAnsi="Book Antiqua"/>
        <w:b/>
        <w:bCs/>
        <w:color w:val="365F91" w:themeColor="accent1" w:themeShade="BF"/>
        <w:lang w:val="en-GB"/>
      </w:rPr>
      <w:t>PASUNDAN SOCIAL SCIENCE DEVELOPMENT</w:t>
    </w:r>
  </w:p>
  <w:p w14:paraId="5B17CD81" w14:textId="77777777" w:rsidR="00C7660A" w:rsidRPr="00220C01" w:rsidRDefault="00C7660A" w:rsidP="00C7660A">
    <w:pPr>
      <w:pStyle w:val="Header"/>
      <w:pBdr>
        <w:bottom w:val="single" w:sz="4" w:space="1" w:color="auto"/>
      </w:pBdr>
      <w:rPr>
        <w:rFonts w:ascii="Book Antiqua" w:hAnsi="Book Antiqua"/>
        <w:lang w:val="en-GB"/>
      </w:rPr>
    </w:pPr>
    <w:r w:rsidRPr="005D560D">
      <w:rPr>
        <w:rFonts w:ascii="Book Antiqua" w:hAnsi="Book Antiqua"/>
        <w:lang w:val="en-GB"/>
      </w:rPr>
      <w:t xml:space="preserve">Vol. 5, No. </w:t>
    </w:r>
    <w:r>
      <w:rPr>
        <w:rFonts w:ascii="Book Antiqua" w:hAnsi="Book Antiqua"/>
        <w:lang w:val="en-GB"/>
      </w:rPr>
      <w:t>2</w:t>
    </w:r>
    <w:r w:rsidRPr="005D560D">
      <w:rPr>
        <w:rFonts w:ascii="Book Antiqua" w:hAnsi="Book Antiqua"/>
        <w:lang w:val="en-GB"/>
      </w:rPr>
      <w:t xml:space="preserve">, </w:t>
    </w:r>
    <w:r>
      <w:rPr>
        <w:rFonts w:ascii="Book Antiqua" w:hAnsi="Book Antiqua"/>
        <w:lang w:val="en-GB"/>
      </w:rPr>
      <w:t>April</w:t>
    </w:r>
    <w:r w:rsidRPr="005D560D">
      <w:rPr>
        <w:rFonts w:ascii="Book Antiqua" w:hAnsi="Book Antiqua"/>
        <w:lang w:val="en-GB"/>
      </w:rPr>
      <w:t xml:space="preserve"> 202</w:t>
    </w:r>
    <w:r>
      <w:rPr>
        <w:rFonts w:ascii="Book Antiqua" w:hAnsi="Book Antiqua"/>
        <w:lang w:val="en-GB"/>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122A5" w14:textId="77777777" w:rsidR="00550650" w:rsidRPr="003E4927" w:rsidRDefault="00550650" w:rsidP="00550650">
    <w:pPr>
      <w:pStyle w:val="Header"/>
      <w:pBdr>
        <w:bottom w:val="single" w:sz="4" w:space="1" w:color="auto"/>
      </w:pBdr>
      <w:rPr>
        <w:rFonts w:ascii="Book Antiqua" w:hAnsi="Book Antiqua"/>
        <w:b/>
        <w:bCs/>
        <w:color w:val="365F91" w:themeColor="accent1" w:themeShade="BF"/>
        <w:lang w:val="en-GB"/>
      </w:rPr>
    </w:pPr>
    <w:r w:rsidRPr="003E4927">
      <w:rPr>
        <w:rFonts w:ascii="Book Antiqua" w:hAnsi="Book Antiqua"/>
        <w:b/>
        <w:bCs/>
        <w:color w:val="365F91" w:themeColor="accent1" w:themeShade="BF"/>
        <w:lang w:val="en-GB"/>
      </w:rPr>
      <w:t>PASUNDAN SOCIAL SCIENCE DEVELOPMENT</w:t>
    </w:r>
  </w:p>
  <w:p w14:paraId="590AE995" w14:textId="706560BE" w:rsidR="00550650" w:rsidRPr="00220C01" w:rsidRDefault="00550650" w:rsidP="00550650">
    <w:pPr>
      <w:pStyle w:val="Header"/>
      <w:pBdr>
        <w:bottom w:val="single" w:sz="4" w:space="1" w:color="auto"/>
      </w:pBdr>
      <w:rPr>
        <w:rFonts w:ascii="Book Antiqua" w:hAnsi="Book Antiqua"/>
        <w:lang w:val="en-GB"/>
      </w:rPr>
    </w:pPr>
    <w:r w:rsidRPr="005D560D">
      <w:rPr>
        <w:rFonts w:ascii="Book Antiqua" w:hAnsi="Book Antiqua"/>
        <w:lang w:val="en-GB"/>
      </w:rPr>
      <w:t xml:space="preserve">Vol. 5, No. </w:t>
    </w:r>
    <w:r>
      <w:rPr>
        <w:rFonts w:ascii="Book Antiqua" w:hAnsi="Book Antiqua"/>
        <w:lang w:val="en-GB"/>
      </w:rPr>
      <w:t>2</w:t>
    </w:r>
    <w:r w:rsidRPr="005D560D">
      <w:rPr>
        <w:rFonts w:ascii="Book Antiqua" w:hAnsi="Book Antiqua"/>
        <w:lang w:val="en-GB"/>
      </w:rPr>
      <w:t xml:space="preserve">, </w:t>
    </w:r>
    <w:r>
      <w:rPr>
        <w:rFonts w:ascii="Book Antiqua" w:hAnsi="Book Antiqua"/>
        <w:lang w:val="en-GB"/>
      </w:rPr>
      <w:t>April</w:t>
    </w:r>
    <w:r w:rsidRPr="005D560D">
      <w:rPr>
        <w:rFonts w:ascii="Book Antiqua" w:hAnsi="Book Antiqua"/>
        <w:lang w:val="en-GB"/>
      </w:rPr>
      <w:t xml:space="preserve"> 202</w:t>
    </w:r>
    <w:r>
      <w:rPr>
        <w:rFonts w:ascii="Book Antiqua" w:hAnsi="Book Antiqua"/>
        <w:lang w:val="en-GB"/>
      </w:rPr>
      <w:t>5</w:t>
    </w:r>
    <w:r w:rsidR="00BC791D">
      <w:rPr>
        <w:rFonts w:ascii="Book Antiqua" w:hAnsi="Book Antiqua"/>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A4739" w14:textId="77777777" w:rsidR="009763B8" w:rsidRPr="001D561F" w:rsidRDefault="009763B8" w:rsidP="009763B8">
    <w:pPr>
      <w:pStyle w:val="Header"/>
      <w:jc w:val="center"/>
      <w:rPr>
        <w:rFonts w:ascii="Varsity Regular" w:hAnsi="Varsity Regular"/>
        <w:noProof/>
        <w:color w:val="C00000"/>
        <w:sz w:val="86"/>
        <w:szCs w:val="86"/>
      </w:rPr>
    </w:pPr>
    <w:r>
      <w:rPr>
        <w:noProof/>
      </w:rPr>
      <w:drawing>
        <wp:anchor distT="0" distB="0" distL="114300" distR="114300" simplePos="0" relativeHeight="251659264" behindDoc="0" locked="0" layoutInCell="1" allowOverlap="1" wp14:anchorId="0A59967B" wp14:editId="29EE9C6B">
          <wp:simplePos x="0" y="0"/>
          <wp:positionH relativeFrom="margin">
            <wp:align>left</wp:align>
          </wp:positionH>
          <wp:positionV relativeFrom="paragraph">
            <wp:posOffset>6985</wp:posOffset>
          </wp:positionV>
          <wp:extent cx="784510" cy="1104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479" cy="1111898"/>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927">
      <w:rPr>
        <w:rFonts w:ascii="Varsity Regular" w:hAnsi="Varsity Regular"/>
        <w:noProof/>
        <w:color w:val="365F91" w:themeColor="accent1" w:themeShade="BF"/>
        <w:sz w:val="86"/>
        <w:szCs w:val="86"/>
      </w:rPr>
      <w:t>PAS</w:t>
    </w:r>
    <w:r>
      <w:rPr>
        <w:rFonts w:ascii="Varsity Regular" w:hAnsi="Varsity Regular"/>
        <w:noProof/>
        <w:color w:val="365F91" w:themeColor="accent1" w:themeShade="BF"/>
        <w:sz w:val="86"/>
        <w:szCs w:val="86"/>
      </w:rPr>
      <w:t>C</w:t>
    </w:r>
    <w:r w:rsidRPr="003E4927">
      <w:rPr>
        <w:rFonts w:ascii="Varsity Regular" w:hAnsi="Varsity Regular"/>
        <w:noProof/>
        <w:color w:val="365F91" w:themeColor="accent1" w:themeShade="BF"/>
        <w:sz w:val="86"/>
        <w:szCs w:val="86"/>
      </w:rPr>
      <w:t>IDEV</w:t>
    </w:r>
  </w:p>
  <w:p w14:paraId="1C0AF913" w14:textId="77777777" w:rsidR="009763B8" w:rsidRPr="003E4927" w:rsidRDefault="009763B8" w:rsidP="009763B8">
    <w:pPr>
      <w:pStyle w:val="Header"/>
      <w:jc w:val="center"/>
      <w:rPr>
        <w:color w:val="365F91" w:themeColor="accent1" w:themeShade="BF"/>
        <w:sz w:val="26"/>
        <w:szCs w:val="26"/>
        <w:lang w:val="en-ID"/>
      </w:rPr>
    </w:pPr>
    <w:r w:rsidRPr="003E4927">
      <w:rPr>
        <w:rFonts w:ascii="Book Antiqua" w:hAnsi="Book Antiqua"/>
        <w:b/>
        <w:bCs/>
        <w:color w:val="365F91" w:themeColor="accent1" w:themeShade="BF"/>
        <w:sz w:val="20"/>
        <w:szCs w:val="20"/>
      </w:rPr>
      <w:t>PASUNDAN SOCIAL SCIENCE DEVELOPMENT</w:t>
    </w:r>
  </w:p>
  <w:p w14:paraId="6C021D8C" w14:textId="77777777" w:rsidR="009763B8" w:rsidRPr="001D561F" w:rsidRDefault="009763B8" w:rsidP="009763B8">
    <w:pPr>
      <w:pStyle w:val="Header"/>
      <w:jc w:val="center"/>
      <w:rPr>
        <w:rFonts w:ascii="Book Antiqua" w:hAnsi="Book Antiqua"/>
        <w:b/>
        <w:bCs/>
        <w:sz w:val="20"/>
        <w:szCs w:val="20"/>
        <w:lang w:val="en-GB"/>
      </w:rPr>
    </w:pPr>
    <w:r w:rsidRPr="001D561F">
      <w:rPr>
        <w:rFonts w:ascii="Book Antiqua" w:hAnsi="Book Antiqua"/>
        <w:b/>
        <w:bCs/>
        <w:sz w:val="20"/>
        <w:szCs w:val="20"/>
        <w:lang w:val="en-GB"/>
      </w:rPr>
      <w:t xml:space="preserve">Vol. 5, No. </w:t>
    </w:r>
    <w:r>
      <w:rPr>
        <w:rFonts w:ascii="Book Antiqua" w:hAnsi="Book Antiqua"/>
        <w:b/>
        <w:bCs/>
        <w:sz w:val="20"/>
        <w:szCs w:val="20"/>
        <w:lang w:val="en-GB"/>
      </w:rPr>
      <w:t>2</w:t>
    </w:r>
    <w:r w:rsidRPr="001D561F">
      <w:rPr>
        <w:rFonts w:ascii="Book Antiqua" w:hAnsi="Book Antiqua"/>
        <w:b/>
        <w:bCs/>
        <w:sz w:val="20"/>
        <w:szCs w:val="20"/>
        <w:lang w:val="en-GB"/>
      </w:rPr>
      <w:t xml:space="preserve">, </w:t>
    </w:r>
    <w:r>
      <w:rPr>
        <w:rFonts w:ascii="Book Antiqua" w:hAnsi="Book Antiqua"/>
        <w:b/>
        <w:bCs/>
        <w:sz w:val="20"/>
        <w:szCs w:val="20"/>
        <w:lang w:val="en-GB"/>
      </w:rPr>
      <w:t>April</w:t>
    </w:r>
    <w:r w:rsidRPr="001D561F">
      <w:rPr>
        <w:rFonts w:ascii="Book Antiqua" w:hAnsi="Book Antiqua"/>
        <w:b/>
        <w:bCs/>
        <w:sz w:val="20"/>
        <w:szCs w:val="20"/>
        <w:lang w:val="en-GB"/>
      </w:rPr>
      <w:t xml:space="preserve"> 202</w:t>
    </w:r>
    <w:r>
      <w:rPr>
        <w:rFonts w:ascii="Book Antiqua" w:hAnsi="Book Antiqua"/>
        <w:b/>
        <w:bCs/>
        <w:sz w:val="20"/>
        <w:szCs w:val="20"/>
        <w:lang w:val="en-GB"/>
      </w:rPr>
      <w:t>5</w:t>
    </w:r>
  </w:p>
  <w:p w14:paraId="28348749" w14:textId="77777777" w:rsidR="009763B8" w:rsidRDefault="009763B8" w:rsidP="009763B8">
    <w:pPr>
      <w:pStyle w:val="Header"/>
      <w:jc w:val="center"/>
      <w:rPr>
        <w:rStyle w:val="Strong"/>
        <w:rFonts w:ascii="Book Antiqua" w:hAnsi="Book Antiqua" w:cs="Helvetica"/>
        <w:sz w:val="20"/>
        <w:szCs w:val="20"/>
      </w:rPr>
    </w:pPr>
    <w:r w:rsidRPr="001D561F">
      <w:rPr>
        <w:rStyle w:val="Emphasis"/>
        <w:rFonts w:ascii="Book Antiqua" w:hAnsi="Book Antiqua" w:cs="Helvetica"/>
        <w:color w:val="2C3E50"/>
        <w:sz w:val="20"/>
        <w:szCs w:val="20"/>
        <w:lang w:val="en-ID"/>
      </w:rPr>
      <w:t>p-ISSN</w:t>
    </w:r>
    <w:r w:rsidRPr="001D561F">
      <w:rPr>
        <w:rFonts w:ascii="Book Antiqua" w:hAnsi="Book Antiqua" w:cs="Helvetica"/>
        <w:color w:val="2C3E50"/>
        <w:sz w:val="20"/>
        <w:szCs w:val="20"/>
      </w:rPr>
      <w:t>:</w:t>
    </w:r>
    <w:r w:rsidRPr="005E4855">
      <w:rPr>
        <w:rStyle w:val="Strong"/>
        <w:rFonts w:ascii="Book Antiqua" w:hAnsi="Book Antiqua" w:cs="Helvetica"/>
        <w:sz w:val="20"/>
        <w:szCs w:val="20"/>
      </w:rPr>
      <w:t>2798-4168.</w:t>
    </w:r>
    <w:r w:rsidRPr="001D561F">
      <w:rPr>
        <w:rStyle w:val="Emphasis"/>
        <w:rFonts w:ascii="Book Antiqua" w:hAnsi="Book Antiqua" w:cs="Helvetica"/>
        <w:color w:val="2C3E50"/>
        <w:sz w:val="20"/>
        <w:szCs w:val="20"/>
      </w:rPr>
      <w:t>e-ISSN</w:t>
    </w:r>
    <w:r w:rsidRPr="001D561F">
      <w:rPr>
        <w:rFonts w:ascii="Book Antiqua" w:hAnsi="Book Antiqua" w:cs="Helvetica"/>
        <w:color w:val="2C3E50"/>
        <w:sz w:val="20"/>
        <w:szCs w:val="20"/>
      </w:rPr>
      <w:t>:</w:t>
    </w:r>
    <w:r w:rsidRPr="005E4855">
      <w:rPr>
        <w:rStyle w:val="Strong"/>
        <w:rFonts w:ascii="Book Antiqua" w:hAnsi="Book Antiqua" w:cs="Helvetica"/>
        <w:sz w:val="20"/>
        <w:szCs w:val="20"/>
      </w:rPr>
      <w:t>2798-415X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74498"/>
    <w:multiLevelType w:val="hybridMultilevel"/>
    <w:tmpl w:val="C1F6A346"/>
    <w:lvl w:ilvl="0" w:tplc="2752E676">
      <w:start w:val="1"/>
      <w:numFmt w:val="decimal"/>
      <w:lvlText w:val="%1."/>
      <w:lvlJc w:val="left"/>
      <w:pPr>
        <w:ind w:left="1080" w:hanging="360"/>
      </w:pPr>
      <w:rPr>
        <w:rFonts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FF0EAC"/>
    <w:multiLevelType w:val="hybridMultilevel"/>
    <w:tmpl w:val="F934E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7780107"/>
    <w:multiLevelType w:val="hybridMultilevel"/>
    <w:tmpl w:val="3A2632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DE6499"/>
    <w:multiLevelType w:val="multilevel"/>
    <w:tmpl w:val="220EBC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grammar="clean"/>
  <w:revisionView w:inkAnnotations="0"/>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718"/>
    <w:rsid w:val="00082312"/>
    <w:rsid w:val="00105B23"/>
    <w:rsid w:val="00106EBD"/>
    <w:rsid w:val="0016688A"/>
    <w:rsid w:val="001C2A5B"/>
    <w:rsid w:val="001D59D1"/>
    <w:rsid w:val="001F5A76"/>
    <w:rsid w:val="00204E57"/>
    <w:rsid w:val="002C191A"/>
    <w:rsid w:val="00321220"/>
    <w:rsid w:val="00351D38"/>
    <w:rsid w:val="003B0C3F"/>
    <w:rsid w:val="003D6638"/>
    <w:rsid w:val="0043399F"/>
    <w:rsid w:val="00492F49"/>
    <w:rsid w:val="00511168"/>
    <w:rsid w:val="0052602D"/>
    <w:rsid w:val="00535DB5"/>
    <w:rsid w:val="00550650"/>
    <w:rsid w:val="00555FC5"/>
    <w:rsid w:val="005E1634"/>
    <w:rsid w:val="005E7B2C"/>
    <w:rsid w:val="00604E66"/>
    <w:rsid w:val="00673F58"/>
    <w:rsid w:val="00752718"/>
    <w:rsid w:val="00813F88"/>
    <w:rsid w:val="00874309"/>
    <w:rsid w:val="008B34E2"/>
    <w:rsid w:val="008C44BB"/>
    <w:rsid w:val="00924425"/>
    <w:rsid w:val="00972C83"/>
    <w:rsid w:val="009763B8"/>
    <w:rsid w:val="00977421"/>
    <w:rsid w:val="00A76D2B"/>
    <w:rsid w:val="00B12532"/>
    <w:rsid w:val="00B656A4"/>
    <w:rsid w:val="00BB4346"/>
    <w:rsid w:val="00BC791D"/>
    <w:rsid w:val="00C7660A"/>
    <w:rsid w:val="00CC1C34"/>
    <w:rsid w:val="00D1161B"/>
    <w:rsid w:val="00D72719"/>
    <w:rsid w:val="00D96672"/>
    <w:rsid w:val="00DB4ABE"/>
    <w:rsid w:val="00E13C70"/>
    <w:rsid w:val="00E91A01"/>
    <w:rsid w:val="00ED4085"/>
    <w:rsid w:val="00F15EE2"/>
    <w:rsid w:val="00F76C95"/>
    <w:rsid w:val="00F818EF"/>
    <w:rsid w:val="00F90A3E"/>
    <w:rsid w:val="00FB1A53"/>
    <w:rsid w:val="00FF2E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223E0C"/>
  <w15:docId w15:val="{008F58B8-B712-5345-9027-20EB8738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718"/>
  </w:style>
  <w:style w:type="paragraph" w:styleId="Heading2">
    <w:name w:val="heading 2"/>
    <w:basedOn w:val="Normal"/>
    <w:link w:val="Heading2Char"/>
    <w:uiPriority w:val="9"/>
    <w:semiHidden/>
    <w:unhideWhenUsed/>
    <w:qFormat/>
    <w:rsid w:val="007527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semiHidden/>
    <w:unhideWhenUsed/>
    <w:qFormat/>
    <w:rsid w:val="007527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5271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75271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5271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52718"/>
    <w:pPr>
      <w:ind w:left="720"/>
      <w:contextualSpacing/>
    </w:pPr>
  </w:style>
  <w:style w:type="character" w:styleId="Strong">
    <w:name w:val="Strong"/>
    <w:basedOn w:val="DefaultParagraphFont"/>
    <w:uiPriority w:val="22"/>
    <w:qFormat/>
    <w:rsid w:val="00752718"/>
    <w:rPr>
      <w:b/>
      <w:bCs/>
    </w:rPr>
  </w:style>
  <w:style w:type="character" w:styleId="Emphasis">
    <w:name w:val="Emphasis"/>
    <w:basedOn w:val="DefaultParagraphFont"/>
    <w:uiPriority w:val="20"/>
    <w:qFormat/>
    <w:rsid w:val="00752718"/>
    <w:rPr>
      <w:i/>
      <w:iCs/>
    </w:rPr>
  </w:style>
  <w:style w:type="paragraph" w:styleId="Header">
    <w:name w:val="header"/>
    <w:basedOn w:val="Normal"/>
    <w:link w:val="HeaderChar"/>
    <w:uiPriority w:val="99"/>
    <w:unhideWhenUsed/>
    <w:rsid w:val="005E1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634"/>
  </w:style>
  <w:style w:type="paragraph" w:styleId="Footer">
    <w:name w:val="footer"/>
    <w:basedOn w:val="Normal"/>
    <w:link w:val="FooterChar"/>
    <w:uiPriority w:val="99"/>
    <w:unhideWhenUsed/>
    <w:rsid w:val="005E1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887981">
      <w:bodyDiv w:val="1"/>
      <w:marLeft w:val="0"/>
      <w:marRight w:val="0"/>
      <w:marTop w:val="0"/>
      <w:marBottom w:val="0"/>
      <w:divBdr>
        <w:top w:val="none" w:sz="0" w:space="0" w:color="auto"/>
        <w:left w:val="none" w:sz="0" w:space="0" w:color="auto"/>
        <w:bottom w:val="none" w:sz="0" w:space="0" w:color="auto"/>
        <w:right w:val="none" w:sz="0" w:space="0" w:color="auto"/>
      </w:divBdr>
    </w:div>
    <w:div w:id="861825407">
      <w:bodyDiv w:val="1"/>
      <w:marLeft w:val="0"/>
      <w:marRight w:val="0"/>
      <w:marTop w:val="0"/>
      <w:marBottom w:val="0"/>
      <w:divBdr>
        <w:top w:val="none" w:sz="0" w:space="0" w:color="auto"/>
        <w:left w:val="none" w:sz="0" w:space="0" w:color="auto"/>
        <w:bottom w:val="none" w:sz="0" w:space="0" w:color="auto"/>
        <w:right w:val="none" w:sz="0" w:space="0" w:color="auto"/>
      </w:divBdr>
    </w:div>
    <w:div w:id="136035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4.0/" TargetMode="External"/><Relationship Id="rId2" Type="http://schemas.openxmlformats.org/officeDocument/2006/relationships/image" Target="media/image1.png"/><Relationship Id="rId1" Type="http://schemas.openxmlformats.org/officeDocument/2006/relationships/hyperlink" Target="http://creativecommons.org/licenses/by/4.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7955C-A312-487D-BE74-89E4F0061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4990</Words>
  <Characters>28448</Characters>
  <Application>Microsoft Office Word</Application>
  <DocSecurity>0</DocSecurity>
  <Lines>237</Lines>
  <Paragraphs>66</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Transformasi Toyota Kijang (1977–1996): Dari Kendaraan Niaga ke Simbol Budaya Ke</vt:lpstr>
      <vt:lpstr/>
      <vt:lpstr>Afrianti Wulandari</vt:lpstr>
      <vt:lpstr>Universitas Pamulang, Tangerang Selatan, Banten, Indonesia</vt:lpstr>
      <vt:lpstr>dosen01166@unpam.ac.id</vt:lpstr>
      <vt:lpstr>    </vt:lpstr>
      <vt:lpstr>    Abstrak</vt:lpstr>
      <vt:lpstr>    </vt:lpstr>
      <vt:lpstr>    Pendahuluan</vt:lpstr>
      <vt:lpstr>        </vt:lpstr>
      <vt:lpstr>        Metodologi</vt:lpstr>
      <vt:lpstr>        Strategi Pemasaran 7P pada Produk Toyota Kijang di Indonesia</vt:lpstr>
      <vt:lpstr>    Analisis Faktor Kesuksesan Toyota Kijang (1977–1996)</vt:lpstr>
      <vt:lpstr>    </vt:lpstr>
      <vt:lpstr>    Kesimpulan</vt:lpstr>
      <vt:lpstr>    </vt:lpstr>
      <vt:lpstr>    Referensi</vt:lpstr>
    </vt:vector>
  </TitlesOfParts>
  <Company/>
  <LinksUpToDate>false</LinksUpToDate>
  <CharactersWithSpaces>33372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Reviewer</cp:lastModifiedBy>
  <cp:revision>3</cp:revision>
  <dcterms:created xsi:type="dcterms:W3CDTF">2025-08-21T09:34:00Z</dcterms:created>
  <dcterms:modified xsi:type="dcterms:W3CDTF">2025-08-21T09:34:00Z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http://csl.mendeley.com/styles/636234971/apa-2</vt:lpwstr>
  </property>
  <property fmtid="{D5CDD505-2E9C-101B-9397-08002B2CF9AE}" pid="4" name="Mendeley Unique User Id_1">
    <vt:lpwstr>9abfe36a-0980-3e94-a0a3-82a483c77255</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http://csl.mendeley.com/styles/636234971/apa-2</vt:lpwstr>
  </property>
  <property fmtid="{D5CDD505-2E9C-101B-9397-08002B2CF9AE}" pid="12" name="Mendeley Recent Style Name 3_1">
    <vt:lpwstr>American Psychological Association 7th edition - Rofiq Noorman Haryadi</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